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10.xml" ContentType="application/vnd.openxmlformats-officedocument.wordprocessingml.footer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0.xml" ContentType="application/vnd.openxmlformats-officedocument.wordprocessingml.head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numbering.xml" ContentType="application/vnd.openxmlformats-officedocument.wordprocessingml.numbering+xml"/>
  <Override PartName="/word/header6.xml" ContentType="application/vnd.openxmlformats-officedocument.wordprocessingml.header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9.xml" ContentType="application/vnd.openxmlformats-officedocument.wordprocessingml.footer+xml"/>
  <Override PartName="/word/theme/theme1.xml" ContentType="application/vnd.openxmlformats-officedocument.theme+xml"/>
  <Override PartName="/word/header11.xml" ContentType="application/vnd.openxmlformats-officedocument.wordprocessingml.head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9.xml" ContentType="application/vnd.openxmlformats-officedocument.wordprocessingml.head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93"/>
        <w:numPr>
          <w:ilvl w:val="0"/>
          <w:numId w:val="0"/>
        </w:numPr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  <w:outlineLvl w:val="0"/>
      </w:pPr>
      <w:r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ПРИЛОЖЕНИЕ № 4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893"/>
        <w:numPr>
          <w:ilvl w:val="0"/>
          <w:numId w:val="0"/>
        </w:numPr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893"/>
        <w:numPr>
          <w:ilvl w:val="0"/>
          <w:numId w:val="0"/>
        </w:numPr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УТВЕРЖДЕНА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893"/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приказом министерства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893"/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жилищно-коммунального хозяйства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893"/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 энергетики Новосибирской области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893"/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от 09.04.2026  № 89-НПА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893"/>
        <w:ind w:right="-2"/>
        <w:jc w:val="center"/>
        <w:spacing w:before="0"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</w:p>
    <w:p>
      <w:pPr>
        <w:pStyle w:val="893"/>
        <w:ind w:right="-2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ind w:right="-2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ind w:right="-2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ДОКУМЕНТАЦИЯ О ПРОВЕДЕНИИ ПРЕДВАРИТЕЛЬНОГО ОТБОРА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2.4-2026-ПО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 предмету предварительного отбора «Оказание услуг и (или) выполнение работ по капитальном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у ремонту общего имущества многоквартирных домов, являющихся объектами культурного наследия, в случае, предусмотренном пунктом 4 статьи 56.1 Федерального закона «Об объектах культурного наследия (памятниках истории и культуры) народов Российской Федерации»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»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left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г. Новосибирск, 2026 г.</w:t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r>
    </w:p>
    <w:p>
      <w:pPr>
        <w:pStyle w:val="893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r>
    </w:p>
    <w:p>
      <w:pPr>
        <w:pStyle w:val="893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Общие положения</w:t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r>
    </w:p>
    <w:p>
      <w:pPr>
        <w:pStyle w:val="893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1.</w:t>
      </w:r>
      <w:r>
        <w:rPr>
          <w:rFonts w:ascii="Times New Roman" w:hAnsi="Times New Roman" w:eastAsia="Calibri" w:cs="Times New Roman"/>
          <w:b/>
          <w:sz w:val="24"/>
          <w:szCs w:val="24"/>
        </w:rPr>
        <w:tab/>
      </w:r>
      <w:r>
        <w:rPr>
          <w:rFonts w:ascii="Times New Roman" w:hAnsi="Times New Roman" w:eastAsia="Calibri" w:cs="Times New Roman"/>
          <w:sz w:val="24"/>
          <w:szCs w:val="24"/>
        </w:rPr>
        <w:t xml:space="preserve">Орган по ведению реестра квалифицированных подрядных организаций (далее – Орган по ведению РКПО) – министерство жилищно-коммунального хозяйства и энергетики Новосибирской области.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2.</w:t>
        <w:tab/>
      </w:r>
      <w:r>
        <w:rPr>
          <w:rFonts w:ascii="Times New Roman" w:hAnsi="Times New Roman" w:eastAsia="Calibri" w:cs="Times New Roman"/>
          <w:sz w:val="24"/>
          <w:szCs w:val="24"/>
        </w:rPr>
      </w:r>
    </w:p>
    <w:tbl>
      <w:tblPr>
        <w:tblW w:w="9911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97"/>
        <w:gridCol w:w="4117"/>
        <w:gridCol w:w="5097"/>
      </w:tblGrid>
      <w:tr>
        <w:tblPrEx/>
        <w:trPr>
          <w:trHeight w:val="861"/>
        </w:trPr>
        <w:tc>
          <w:tcPr>
            <w:shd w:val="clear" w:color="auto" w:fill="ffffff"/>
            <w:tcW w:w="697" w:type="dxa"/>
            <w:vAlign w:val="center"/>
            <w:textDirection w:val="lrTb"/>
            <w:noWrap w:val="false"/>
          </w:tcPr>
          <w:p>
            <w:pPr>
              <w:pStyle w:val="893"/>
              <w:jc w:val="center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W w:w="9214" w:type="dxa"/>
            <w:vAlign w:val="center"/>
            <w:textDirection w:val="lrTb"/>
            <w:noWrap w:val="false"/>
          </w:tcPr>
          <w:p>
            <w:pPr>
              <w:pStyle w:val="893"/>
              <w:jc w:val="center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Информация о проведении предварительного отбора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68"/>
        </w:trPr>
        <w:tc>
          <w:tcPr>
            <w:gridSpan w:val="3"/>
            <w:shd w:val="clear" w:color="auto" w:fill="ffffff"/>
            <w:tcW w:w="9911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1. Сведения об органе по ведению реестра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</w:rPr>
            </w:r>
          </w:p>
        </w:tc>
      </w:tr>
      <w:tr>
        <w:tblPrEx/>
        <w:trPr>
          <w:trHeight w:val="861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Наименование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Министерство жилищно-коммунального хозяйства и энергетики Новосибирской области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49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Место нахождения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630091, г. Новосибирск, ул. Фрунзе, 5, оф. 639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49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Почтовый адрес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630091, г. Новосибирск, ул. Фрунзе, 5, оф. 639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68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5406793110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49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 w:bidi="ar-SA"/>
              </w:rPr>
              <w:t xml:space="preserve">mingkh@nso.ru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r>
          </w:p>
        </w:tc>
      </w:tr>
      <w:tr>
        <w:tblPrEx/>
        <w:trPr>
          <w:trHeight w:val="568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Номер телефона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8 (383) 238-76-46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49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1.7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Ф.И.О. контактного лица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Манске Инга Геннадьевна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1466"/>
        </w:trPr>
        <w:tc>
          <w:tcPr>
            <w:tcW w:w="69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Предмет предварительного отбора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893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Оказание услуг и (или) выполнение работ по капитальном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у ремонту общего имущества многоквартирных домов, являющихся объектами культурного наследия, в случае, предусмотренном пунктом 4 статьи 56.1 Федерального закона «Об объектах культурного наследия (памятниках истории и культуры) народов Российской Федерации»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49"/>
        </w:trPr>
        <w:tc>
          <w:tcPr>
            <w:tcW w:w="69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Номер предварительного отбора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2.4-2026-ПО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1173"/>
        </w:trPr>
        <w:tc>
          <w:tcPr>
            <w:tcW w:w="69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Официальный сайт, на котором размещена документация о проведении предварительного отбора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http://www.mjkh.nso.ru/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861"/>
        </w:trPr>
        <w:tc>
          <w:tcPr>
            <w:tcW w:w="69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Адрес сайта оператора электронной площадки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http://www.rts-tender.ru/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61"/>
        </w:trPr>
        <w:tc>
          <w:tcPr>
            <w:tcW w:w="69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6.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Период действия результатов предварительного отбора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3 года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54"/>
        </w:trPr>
        <w:tc>
          <w:tcPr>
            <w:tcW w:w="69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7.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Дата и время начала срока подачи заявок на участие в предварительном отборе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10 апреля 2026 года,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09 часов 00 минут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54"/>
        </w:trPr>
        <w:tc>
          <w:tcPr>
            <w:tcW w:w="69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8.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Дата и время окончания срока подачи заявок на участие в предварительном отборе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30 апреля 2026 года,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09 часов 00 минут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80"/>
        </w:trPr>
        <w:tc>
          <w:tcPr>
            <w:tcW w:w="697" w:type="dxa"/>
            <w:textDirection w:val="lrTb"/>
            <w:noWrap w:val="false"/>
          </w:tcPr>
          <w:p>
            <w:pPr>
              <w:pStyle w:val="893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9.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893"/>
              <w:jc w:val="left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Дата окончания рассмотрения заявок на участие в предварительном отборе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893"/>
              <w:jc w:val="left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14 мая 2026 года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</w:tbl>
    <w:p>
      <w:pPr>
        <w:pStyle w:val="893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  <w:lang w:val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</w:r>
    </w:p>
    <w:p>
      <w:pPr>
        <w:pStyle w:val="893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Требования к оказанию услуг и (или) выполнению работ по капитальному ремонту общего имущества в многоквартирном доме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tbl>
      <w:tblPr>
        <w:tblW w:w="10065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9"/>
        <w:gridCol w:w="3071"/>
        <w:gridCol w:w="6285"/>
      </w:tblGrid>
      <w:tr>
        <w:tblPrEx/>
        <w:trPr>
          <w:trHeight w:val="458"/>
          <w:tblHeader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93"/>
              <w:jc w:val="center"/>
              <w:keepNext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71" w:type="dxa"/>
            <w:textDirection w:val="lrTb"/>
            <w:noWrap w:val="false"/>
          </w:tcPr>
          <w:p>
            <w:pPr>
              <w:pStyle w:val="893"/>
              <w:jc w:val="center"/>
              <w:keepNext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Требования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85" w:type="dxa"/>
            <w:textDirection w:val="lrTb"/>
            <w:noWrap w:val="false"/>
          </w:tcPr>
          <w:p>
            <w:pPr>
              <w:pStyle w:val="893"/>
              <w:jc w:val="center"/>
              <w:keepNext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Описание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64"/>
          <w:tblHeader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71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85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5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93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71" w:type="dxa"/>
            <w:textDirection w:val="lrTb"/>
            <w:noWrap w:val="false"/>
          </w:tcPr>
          <w:p>
            <w:pPr>
              <w:pStyle w:val="893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Требования к ремонту многоквартирных домов (далее – МКД), являющегося объектом культурного наследия,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включенными в реестр, затрагивающие предмет охраны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85" w:type="dxa"/>
            <w:textDirection w:val="lrTb"/>
            <w:noWrap w:val="false"/>
          </w:tcPr>
          <w:p>
            <w:pPr>
              <w:pStyle w:val="893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Производственные работы, проводимые в целях поддержания в эксплуатационном состоянии памятника без изменения его особенностей, составляющих предмет охраны.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893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Работы по капитальному ремонту общего имущества в многоквартирных домах, являющихся объектами культурного наследия, включенными в реестр, затрагивающие предмет охраны (п. 4 ст. 56.1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Федерального закона от 25.06.2002 № 73-ФЗ «Об объектах культурного наследия (памятниках истории и культуры) народов Российской Федерации» (далее - Федеральный закон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№ 73-ФЗ)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, выполняются путем проведения работ по сохранению объекта культурного наследия с соблюдением требований, установленных Федеральным законом № 73-ФЗ.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4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71" w:type="dxa"/>
            <w:textDirection w:val="lrTb"/>
            <w:noWrap w:val="false"/>
          </w:tcPr>
          <w:p>
            <w:pPr>
              <w:pStyle w:val="893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Требования к приспособлению МКД, являющегося объектом культурного наследия, для современного использования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85" w:type="dxa"/>
            <w:textDirection w:val="lrTb"/>
            <w:noWrap w:val="false"/>
          </w:tcPr>
          <w:p>
            <w:pPr>
              <w:pStyle w:val="893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Производственные работы, проводимые в целях создания условий для современного использования объекта культурного наследия, представляющих собой историко-культурную ценность элементов объекта культурного наследия.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2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93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71" w:type="dxa"/>
            <w:textDirection w:val="lrTb"/>
            <w:noWrap w:val="false"/>
          </w:tcPr>
          <w:p>
            <w:pPr>
              <w:pStyle w:val="893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Требования к качеству выполняемых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85" w:type="dxa"/>
            <w:textDirection w:val="lrTb"/>
            <w:noWrap w:val="false"/>
          </w:tcPr>
          <w:p>
            <w:pPr>
              <w:pStyle w:val="893"/>
              <w:spacing w:before="0" w:after="0"/>
              <w:shd w:val="clear" w:color="auto" w:fill="ffffff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Подрядная 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оказания услуг и (или) выполнения работ по капитальному ремонту общего имущества в МКД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(далее – Подрядная организация) должна обеспечить выполнение работ в соответствии с требованиями нормативных документов Российской Федерации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9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СНиП 12-04-2002 «Безопасность труда в строительстве.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pStyle w:val="89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 68.13330.2017 «Приемка в эксплуатацию законченных строительством объектов. Основные положения»;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pStyle w:val="89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 48.13330.2019 «Организация строительства»;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pStyle w:val="89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ГОСТ 12.1.004-91 «Пожарная безопасность. Общие требования»;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pStyle w:val="89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СП 54.13330.2022 «Здания жилые многоквартирные»;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89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СНиП 82-01-95 «Разработка и применение норм и нормативов расхода материальных ресурсов в строительстве. Основные положения»;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89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СП 31-110-2003 «Проектирование и монтаж электроустановок жилых и общественных зданий», «Техническим заданием», Правилами устройства электроустановок (ПУЭ);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89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СП 76.13330.2016 «Электротехнические устройства»;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89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СП 30.13330.2020 «Внутренний водопровод и канализация зданий»,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89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СП 40-102-2000 «Свод правил по проектированию и строительству. Проектирование и монтаж трубопроводов систем водоснабжения и канализации из полимерных труб»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89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СП 50.13330.2024 «Тепловая защита зданий»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89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СП 118 13330 2022 Общественные здания и сооружения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89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СП 73.13330.2016"Внутренние санитарно-технические системы."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89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СП 71.13330.2017 Изоляционные и отделочные покрытия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89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СП 51.13330.2011 Защита от шума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89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СП 25.13330.2020 "Основания и фундаменты на вечномерзлых грунтах"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89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СП 28.13330.2017 "Защита строительных конструкций от коррозии"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89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СП 45.13330.2017 "Земляные сооружения, основания и фундаменты"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89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СП 60.13330.2020 «Отопление, вентиляция и кондиционирование».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42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71" w:type="dxa"/>
            <w:textDirection w:val="lrTb"/>
            <w:noWrap w:val="false"/>
          </w:tcPr>
          <w:p>
            <w:pPr>
              <w:pStyle w:val="893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Общие требования к Подрядной организации по выполнению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85" w:type="dxa"/>
            <w:textDirection w:val="lrTb"/>
            <w:noWrap w:val="false"/>
          </w:tcPr>
          <w:p>
            <w:pPr>
              <w:pStyle w:val="9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начала работ: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Style w:val="935"/>
                <w:rFonts w:ascii="Times New Roman" w:hAnsi="Times New Roman" w:cs="Times New Roman"/>
                <w:sz w:val="24"/>
                <w:szCs w:val="24"/>
              </w:rPr>
              <w:t xml:space="preserve">заключить договор на научное руководство проведения работ по капитальном</w:t>
            </w:r>
            <w:r>
              <w:rPr>
                <w:rStyle w:val="935"/>
                <w:rFonts w:ascii="Times New Roman" w:hAnsi="Times New Roman" w:cs="Times New Roman"/>
                <w:sz w:val="24"/>
                <w:szCs w:val="24"/>
              </w:rPr>
              <w:t xml:space="preserve">у ремонту и авторский надзор за их проведением (данные услуги Подрядная организация осуществляет за собственные средства) с лицом, осуществившем разработку проектной документации, необходимой для проведения работ по сохранению объекта культурного наследия;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41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935"/>
                <w:rFonts w:ascii="Times New Roman" w:hAnsi="Times New Roman" w:cs="Times New Roman"/>
                <w:sz w:val="24"/>
                <w:szCs w:val="24"/>
              </w:rPr>
              <w:t xml:space="preserve">- обеспечить осуществление технического надзора за проведением работ (данные услуги Исполнитель осуществляет за собственные средства);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9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935"/>
                <w:rFonts w:ascii="Times New Roman" w:hAnsi="Times New Roman" w:cs="Times New Roman"/>
                <w:sz w:val="24"/>
                <w:szCs w:val="24"/>
              </w:rPr>
              <w:t xml:space="preserve">- получить допуск на проведение работ, выданный органом охраны объектов культурного наследия;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9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-подготовить календарный график производства работ и предоставить его на утверждение Заказчику не позднее двух дней, следующих за датой заключения Договора.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 осуществить завоз строительной техники и строительных материалов.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3"/>
              <w:spacing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Во время проведения работ: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spacing w:before="0" w:after="0"/>
              <w:rPr>
                <w:rFonts w:ascii="Times New Roman" w:hAnsi="Times New Roman" w:eastAsia="Calibri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1) Осуществлять фотофиксацию скрытых работ, основных этапов работ.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pStyle w:val="893"/>
              <w:spacing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2) Предоставлять Заказчику еженедельный письменный отчет о ходе выполнения работ в электронном или бумажном виде.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spacing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3) Запрещается складирование строительных материалов на придомовой территории МКД.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spacing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4) Наличие наряд-допуска к огневым работам.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spacing w:before="0"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5) Демонтажные, монтажные работы проводятся с 8-00 до 19-00.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6) Обеспечить выполнение требований безопасности пребывания людей, так как работы по капитальному ремонту общего имущества МКД (далее – капитальный ремонт МКД) будут осуществляться в условиях эксплуатируемого МКД.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7) Уведомить Заказчика о готовности к началу работ, сдаче-приемке скрытых и выполненных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8) До начала работ Подрядная организация обязана выполнить подготовительные работы по защите квартир собственников МКД от протечек и прочих повреждений, связанных с производством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9) Назначить ответственного за производство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Копию приказа представить Заказчику.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10) Обеспечить обязательное выполнение требований законодательства Российской Федерации о безопасном ведении работ, охране окружающей среды, охране труда, пожарной безопасности и других строительных норм и правил.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2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71" w:type="dxa"/>
            <w:textDirection w:val="lrTb"/>
            <w:noWrap w:val="false"/>
          </w:tcPr>
          <w:p>
            <w:pPr>
              <w:pStyle w:val="893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Требования к качеству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используемых в ходе работ материалов и оборудования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85" w:type="dxa"/>
            <w:textDirection w:val="lrTb"/>
            <w:noWrap w:val="false"/>
          </w:tcPr>
          <w:p>
            <w:pPr>
              <w:pStyle w:val="893"/>
              <w:spacing w:before="0"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Качество, технические, функциональные характеристики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(потребительские свойства), эксплуатационные характеристики и иные показатели материалов и оборудования, используемых при выполнении работ, должны соответствовать Гражданскому кодексу Российской Федерации, Федеральному закону от 22 июля 2008 года № 123-ФЗ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«Технический регламент о требованиях пожарной безопасности», Федеральному закону от 23 ноября 2009 года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Федеральному закону РФ от 25.06.2002г. №73-ФЗ «Об объектах культурного наследия (памятниках истории и культуры) народов РФ» (в том числе в части требований к качеству работ и безопасности их проведения);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93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иным положениям действующего законодательства Российской Федерации, ГОСТ, ОСТ, ТУ, Перечню товара без указания на товарный знак,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Перечню товара с указанием на товарный знак и подтверждаться соответствующими сертификатами/декларациями о соответствии (при их наличии в соответствии с требованиями законодательства Российской Федерации) и другими документами, удостоверяющими их качество.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2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71" w:type="dxa"/>
            <w:textDirection w:val="lrTb"/>
            <w:noWrap w:val="false"/>
          </w:tcPr>
          <w:p>
            <w:pPr>
              <w:pStyle w:val="893"/>
              <w:spacing w:before="0"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Технические характеристики материалов и оборудования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85" w:type="dxa"/>
            <w:textDirection w:val="lrTb"/>
            <w:noWrap w:val="false"/>
          </w:tcPr>
          <w:p>
            <w:pPr>
              <w:pStyle w:val="893"/>
              <w:spacing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1.Количественные и технические характеристики используемых материалов и оборудования – в соответствии с локальными сметами.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93"/>
              <w:spacing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2. В случае указания на товарные знаки применяемых материалов следует читать «или эквивалент» (при согласовании с Заказчиком).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pStyle w:val="893"/>
        <w:numPr>
          <w:ilvl w:val="0"/>
          <w:numId w:val="0"/>
        </w:numPr>
        <w:contextualSpacing/>
        <w:ind w:left="4185"/>
        <w:jc w:val="center"/>
        <w:spacing w:before="120" w:after="0" w:line="240" w:lineRule="auto"/>
        <w:rPr>
          <w:rFonts w:ascii="Times New Roman" w:hAnsi="Times New Roman" w:eastAsia="Calibri" w:cs="Times New Roman"/>
          <w:vanish/>
          <w:sz w:val="24"/>
          <w:szCs w:val="24"/>
        </w:rPr>
        <w:outlineLvl w:val="1"/>
      </w:pPr>
      <w:r>
        <w:rPr>
          <w:rFonts w:ascii="Times New Roman" w:hAnsi="Times New Roman" w:eastAsia="Calibri" w:cs="Times New Roman"/>
          <w:vanish/>
          <w:sz w:val="24"/>
          <w:szCs w:val="24"/>
        </w:rPr>
      </w:r>
      <w:r>
        <w:rPr>
          <w:rFonts w:ascii="Times New Roman" w:hAnsi="Times New Roman" w:eastAsia="Calibri" w:cs="Times New Roman"/>
          <w:vanish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III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Сведения о существенных условиях договора строительного подряда</w:t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</w:p>
    <w:tbl>
      <w:tblPr>
        <w:tblW w:w="10099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79"/>
        <w:gridCol w:w="34"/>
        <w:gridCol w:w="2377"/>
        <w:gridCol w:w="33"/>
        <w:gridCol w:w="6941"/>
        <w:gridCol w:w="34"/>
      </w:tblGrid>
      <w:tr>
        <w:tblPrEx/>
        <w:trPr>
          <w:tblHeader/>
        </w:trPr>
        <w:tc>
          <w:tcPr>
            <w:shd w:val="clear" w:color="auto" w:fill="f2f2f2"/>
            <w:tcW w:w="679" w:type="dxa"/>
            <w:vAlign w:val="center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 w:bidi="ar-SA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f2f2f2"/>
            <w:tcW w:w="2411" w:type="dxa"/>
            <w:vAlign w:val="center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 w:bidi="ar-SA"/>
              </w:rPr>
              <w:t xml:space="preserve">Условие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f2f2f2"/>
            <w:tcW w:w="6974" w:type="dxa"/>
            <w:vAlign w:val="center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 w:bidi="ar-SA"/>
              </w:rPr>
              <w:t xml:space="preserve">Описание условия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" w:type="dxa"/>
            <w:textDirection w:val="lrTb"/>
            <w:noWrap w:val="false"/>
          </w:tcPr>
          <w:p>
            <w:pPr>
              <w:pStyle w:val="893"/>
              <w:jc w:val="left"/>
              <w:spacing w:before="0" w:after="0" w:line="240" w:lineRule="auto"/>
              <w:widowControl/>
              <w:rPr>
                <w:rFonts w:ascii="Calibri" w:hAnsi="Calibri" w:eastAsia="Calibri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Calibri" w:hAnsi="Calibri" w:eastAsia="Calibri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>
          <w:tblHeader/>
        </w:trPr>
        <w:tc>
          <w:tcPr>
            <w:shd w:val="clear" w:color="auto" w:fill="f2f2f2"/>
            <w:tcW w:w="679" w:type="dxa"/>
            <w:vAlign w:val="center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2f2f2"/>
            <w:tcW w:w="2411" w:type="dxa"/>
            <w:vAlign w:val="center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2f2f2"/>
            <w:tcW w:w="6974" w:type="dxa"/>
            <w:vAlign w:val="center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" w:type="dxa"/>
            <w:textDirection w:val="lrTb"/>
            <w:noWrap w:val="false"/>
          </w:tcPr>
          <w:p>
            <w:pPr>
              <w:pStyle w:val="893"/>
              <w:jc w:val="left"/>
              <w:spacing w:before="0" w:after="0" w:line="240" w:lineRule="auto"/>
              <w:widowControl/>
              <w:rPr>
                <w:rFonts w:ascii="Calibri" w:hAnsi="Calibri" w:eastAsia="Calibri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Calibri" w:hAnsi="Calibri" w:eastAsia="Calibri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/>
        <w:tc>
          <w:tcPr>
            <w:gridSpan w:val="2"/>
            <w:tcW w:w="713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2"/>
            <w:tcW w:w="2410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Заказчик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2"/>
            <w:tcW w:w="6975" w:type="dxa"/>
            <w:textDirection w:val="lrTb"/>
            <w:noWrap w:val="false"/>
          </w:tcPr>
          <w:p>
            <w:pPr>
              <w:pStyle w:val="893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Фонд модернизации и развития жилищно-коммунального хозяйства муниципальных образований Новосибирской области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713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2"/>
            <w:tcW w:w="2410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Предмет договора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2"/>
            <w:tcW w:w="6975" w:type="dxa"/>
            <w:textDirection w:val="lrTb"/>
            <w:noWrap w:val="false"/>
          </w:tcPr>
          <w:p>
            <w:pPr>
              <w:pStyle w:val="893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Предметом договора является выполнение работ по капитальному ремонту МКД, являющихся объектами культурного наследия, включенными в реестр, затрагивающие предмет охраны.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Работы (услуги) будут выполняться (оказываться) Подрядной организацией в отношении объектов, указанных в ориентировочном адресном перечне, размещенном на сайте в информационно-коммуникационной сети «Интернет» http://www.mjkh.nso.ru/page/724.</w:t>
            </w:r>
            <w:r>
              <w:rPr>
                <w:rFonts w:ascii="Times New Roman" w:hAnsi="Times New Roman" w:eastAsia="Calibri" w:cs="Times New Roman"/>
                <w:color w:val="000000"/>
                <w:spacing w:val="-6"/>
                <w:sz w:val="24"/>
                <w:szCs w:val="24"/>
                <w:highlight w:val="white"/>
                <w:lang w:val="ru-RU" w:eastAsia="en-US" w:bidi="ar-SA"/>
              </w:rPr>
              <w:t xml:space="preserve">Указанные ориентировочные перечни могут быть скорректированы в соответствии с требованиями действующего жилищного законодательства.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713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2"/>
            <w:tcW w:w="2410" w:type="dxa"/>
            <w:textDirection w:val="lrTb"/>
            <w:noWrap w:val="false"/>
          </w:tcPr>
          <w:p>
            <w:pPr>
              <w:pStyle w:val="893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Цена договора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2"/>
            <w:tcW w:w="6975" w:type="dxa"/>
            <w:textDirection w:val="lrTb"/>
            <w:noWrap w:val="false"/>
          </w:tcPr>
          <w:p>
            <w:pPr>
              <w:pStyle w:val="893"/>
              <w:contextualSpacing/>
              <w:ind w:left="5"/>
              <w:jc w:val="left"/>
              <w:spacing w:before="0" w:after="0" w:line="240" w:lineRule="auto"/>
              <w:widowControl/>
              <w:tabs>
                <w:tab w:val="left" w:pos="45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 Фиксированная. Определяется по итогам проведения электронного аукциона. Условия аукциона определяются Заказчиком в соответствии 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Положением о привлечении специализированной некоммерческой организацией, осуществляющей деятельность, направленну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ю на обеспечение проведения капитального ремонта МКД, Подрядных организаций для оказания услуг и (или) выполнения работ по капитальному ремонту МКД, утвержденном постановлением Правительства Российской Федерации от 1 июля 2016 г. № 615 (далее – Положение).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93"/>
              <w:contextualSpacing/>
              <w:ind w:left="5"/>
              <w:jc w:val="left"/>
              <w:spacing w:before="0" w:after="0" w:line="240" w:lineRule="auto"/>
              <w:widowControl/>
              <w:tabs>
                <w:tab w:val="left" w:pos="45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 Не может превышать начальную (максимальную) цену договора, указанную в документации о проведении электронного аукциона и извещении о проведении электронного аукциона.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93"/>
              <w:contextualSpacing/>
              <w:ind w:left="5"/>
              <w:jc w:val="left"/>
              <w:spacing w:before="0" w:after="0" w:line="240" w:lineRule="auto"/>
              <w:widowControl/>
              <w:tabs>
                <w:tab w:val="left" w:pos="45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3. Цена договора может быть увеличена по соглашению сторон в ходе его исполнения, но не более чем на 15 процентов в связи с пропорциональным увеличением объема выполнения работ (услуг).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93"/>
              <w:contextualSpacing/>
              <w:jc w:val="left"/>
              <w:spacing w:before="0" w:after="0" w:line="240" w:lineRule="auto"/>
              <w:widowControl/>
              <w:tabs>
                <w:tab w:val="left" w:pos="45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4. Цена договора может быть снижена по соглашению сторон при уменьшении предусмотренных договором об оказании услуг объемов работ (услуг).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713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2"/>
            <w:tcW w:w="2410" w:type="dxa"/>
            <w:textDirection w:val="lrTb"/>
            <w:noWrap w:val="false"/>
          </w:tcPr>
          <w:p>
            <w:pPr>
              <w:pStyle w:val="893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Порядок и сроки оплаты работ (услуг)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2"/>
            <w:tcW w:w="6975" w:type="dxa"/>
            <w:textDirection w:val="lrTb"/>
            <w:noWrap w:val="false"/>
          </w:tcPr>
          <w:p>
            <w:pPr>
              <w:pStyle w:val="893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Устанавливаются Заказчиком в документации об электронном аукционе.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713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2"/>
            <w:tcW w:w="2410" w:type="dxa"/>
            <w:textDirection w:val="lrTb"/>
            <w:noWrap w:val="false"/>
          </w:tcPr>
          <w:p>
            <w:pPr>
              <w:pStyle w:val="893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Порядок и сроки выполнения работ (оказания услуг)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2"/>
            <w:tcW w:w="6975" w:type="dxa"/>
            <w:textDirection w:val="lrTb"/>
            <w:noWrap w:val="false"/>
          </w:tcPr>
          <w:p>
            <w:pPr>
              <w:pStyle w:val="893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Устанавливаются Заказчиком в документации об электронном аукционе.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713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2"/>
            <w:tcW w:w="2410" w:type="dxa"/>
            <w:textDirection w:val="lrTb"/>
            <w:noWrap w:val="false"/>
          </w:tcPr>
          <w:p>
            <w:pPr>
              <w:pStyle w:val="893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Порядок и сроки приемки выполненных работ (оказанных услуг)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2"/>
            <w:tcW w:w="6975" w:type="dxa"/>
            <w:textDirection w:val="lrTb"/>
            <w:noWrap w:val="false"/>
          </w:tcPr>
          <w:p>
            <w:pPr>
              <w:pStyle w:val="893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 Порядок и сроки приемки выполненных работ (оказанных услуг) устанавливаются Заказчиком в документации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2. Для проверки соответствия качества и объемов выполненных работ (оказанных услуг), установленных договором, Заказчик вправе привлекать независимых экспертов.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13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7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2"/>
            <w:tcW w:w="2410" w:type="dxa"/>
            <w:textDirection w:val="lrTb"/>
            <w:noWrap w:val="false"/>
          </w:tcPr>
          <w:p>
            <w:pPr>
              <w:pStyle w:val="893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Место выполнения работ (оказания услуг)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2"/>
            <w:tcW w:w="6975" w:type="dxa"/>
            <w:textDirection w:val="lrTb"/>
            <w:noWrap w:val="false"/>
          </w:tcPr>
          <w:p>
            <w:pPr>
              <w:pStyle w:val="893"/>
              <w:jc w:val="left"/>
              <w:spacing w:before="0" w:after="0" w:line="240" w:lineRule="auto"/>
              <w:widowControl w:val="off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Место выполнения работ (оказания услуг) устанавливается Заказчиком в документации о проведении электронного аукциона в пределах Новосибирской области.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713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8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2"/>
            <w:tcW w:w="2410" w:type="dxa"/>
            <w:textDirection w:val="lrTb"/>
            <w:noWrap w:val="false"/>
          </w:tcPr>
          <w:p>
            <w:pPr>
              <w:pStyle w:val="893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Обеспечение исполнения обязательств по договору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2"/>
            <w:tcW w:w="6975" w:type="dxa"/>
            <w:textDirection w:val="lrTb"/>
            <w:noWrap w:val="false"/>
          </w:tcPr>
          <w:p>
            <w:pPr>
              <w:pStyle w:val="893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 Исполнение обязательств по договору обеспечивается: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а)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независимой гарантией, выданной в соответствии с требованиями, предусмотренными </w:t>
            </w:r>
            <w:hyperlink r:id="rId32" w:tooltip="consultantplus://offline/ref=1A5ACDC7DDF8F0887A5F947293FE2CE5F6F787A58646A3FC26F6FA80EC4498F2B4F4B29DE25C6665B142ABBE2349634291F5A8A8AAE2S3H" w:history="1">
              <w:r>
                <w:rPr>
                  <w:rFonts w:ascii="Times New Roman" w:hAnsi="Times New Roman" w:eastAsia="Calibri" w:cs="Times New Roman"/>
                  <w:sz w:val="24"/>
                  <w:szCs w:val="24"/>
                  <w:lang w:val="ru-RU" w:eastAsia="en-US" w:bidi="ar-SA"/>
                </w:rPr>
                <w:t xml:space="preserve">частью 1 статьи 45</w:t>
              </w:r>
            </w:hyperlink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 Федерального закона «О контрактной системе в сфере закупок товаров, работ, услуг для обеспечения государственных и муниципальных нужд» (далее - независимая гарантия);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б) обеспечительным платежом.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2. Способ обеспечения исполнения обязательств по договору определяется участником электронного аукциона, с которым заключается такой договор, самостоятельно из указанных в пункте 1 способов.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3. Размер обеспечения исполнения договора строительного подряда указывается в извещении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4. Размер обеспечения исполнения договора не может превышать 30 (тридцать) процентов начальной (максимальной) цены договора, указанной в извещении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5. Обеспечение исполнения договора может быть установлено в размере, превышающем в 2 раза размер обеспечения его исполнения, указанный в документаци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и о проведении электронного аукциона, в случае, если при проведении электронного аукциона участником закупки, с которым заключается договор строительного подряда, предложена цена, которая на 20 и более процентов ниже начальной (максимальной) цены договора.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6. Независимая гарантия оформляется в письменной форме на бумажном носителе или в форме электронного документа, подписанного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усиленной квалифицированной электронной подписью лица, имеющего право действовать от имени организации, выдавшей независимую гарантию (далее - гарант), на условиях, определенных гражданским законодательством, и должна соответствовать следующим требованиям: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а) быть безотзывной;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б) требование к независимой гарантии может быть предъяв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строительного подряда и (или) в случае расторжения договора строительного подряда;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д) срок действия независимой гарантии должен превышать срок оказания услуг и (или) выполнения работ по договору строительного подряда не менее чем на 60 дней.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7. Заказчик вправе не устанавливать требование обеспечения исполнения договора при условии банковского сопровождения договора.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В документации о проведении электронного аукциона Заказчиком могут быть установлены дополнительные требования к обеспечению исполнения договора.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13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9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2"/>
            <w:tcW w:w="2410" w:type="dxa"/>
            <w:textDirection w:val="lrTb"/>
            <w:noWrap w:val="false"/>
          </w:tcPr>
          <w:p>
            <w:pPr>
              <w:pStyle w:val="893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Гарантийный срок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2"/>
            <w:tcW w:w="6975" w:type="dxa"/>
            <w:textDirection w:val="lrTb"/>
            <w:noWrap w:val="false"/>
          </w:tcPr>
          <w:p>
            <w:pPr>
              <w:pStyle w:val="893"/>
              <w:jc w:val="left"/>
              <w:spacing w:before="0" w:after="0" w:line="240" w:lineRule="auto"/>
              <w:widowControl w:val="off"/>
              <w:tabs>
                <w:tab w:val="left" w:pos="193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 Условия о гарантийном сроке определяются Заказчиком в документации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ind w:left="52"/>
              <w:jc w:val="left"/>
              <w:spacing w:before="0" w:after="0" w:line="240" w:lineRule="auto"/>
              <w:widowControl w:val="off"/>
              <w:tabs>
                <w:tab w:val="left" w:pos="193" w:leader="none"/>
                <w:tab w:val="left" w:pos="608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 Срок предоставления гарантий на оказанные услуги и (или) выполненные работы не может быть менее 5 лет со дня подписания соответствующего акта о приемке оказанных услуг и (или) выполненных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70"/>
        </w:trPr>
        <w:tc>
          <w:tcPr>
            <w:gridSpan w:val="2"/>
            <w:tcW w:w="713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2"/>
            <w:tcW w:w="2410" w:type="dxa"/>
            <w:textDirection w:val="lrTb"/>
            <w:noWrap w:val="false"/>
          </w:tcPr>
          <w:p>
            <w:pPr>
              <w:pStyle w:val="893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Ответственность Заказчика и Подрядной организации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2"/>
            <w:tcW w:w="6975" w:type="dxa"/>
            <w:textDirection w:val="lrTb"/>
            <w:noWrap w:val="false"/>
          </w:tcPr>
          <w:p>
            <w:pPr>
              <w:pStyle w:val="893"/>
              <w:ind w:left="34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Условия договора, предусматривающие ответственность Подрядной организации и Заказчика за неисполнение или ненадлежащее исполнение обязательств по договору, определяются Заказчиком в документации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713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2"/>
            <w:tcW w:w="2410" w:type="dxa"/>
            <w:textDirection w:val="lrTb"/>
            <w:noWrap w:val="false"/>
          </w:tcPr>
          <w:p>
            <w:pPr>
              <w:pStyle w:val="893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Порядок заключения договора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2"/>
            <w:tcW w:w="6975" w:type="dxa"/>
            <w:textDirection w:val="lrTb"/>
            <w:noWrap w:val="false"/>
          </w:tcPr>
          <w:p>
            <w:pPr>
              <w:pStyle w:val="893"/>
              <w:jc w:val="left"/>
              <w:spacing w:before="0" w:after="0" w:line="240" w:lineRule="auto"/>
              <w:widowControl w:val="off"/>
              <w:tabs>
                <w:tab w:val="left" w:pos="0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 Договор строительного подряда заключается Заказчиком в соответствии с Гражданским кодексом Российской Федерации и Положением.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ind w:left="34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2. Порядок заключения договора определяется Заказчиком в документации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7"/>
        </w:trPr>
        <w:tc>
          <w:tcPr>
            <w:gridSpan w:val="2"/>
            <w:tcW w:w="713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2"/>
            <w:tcW w:w="2410" w:type="dxa"/>
            <w:textDirection w:val="lrTb"/>
            <w:noWrap w:val="false"/>
          </w:tcPr>
          <w:p>
            <w:pPr>
              <w:pStyle w:val="893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Другие существенные условия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2"/>
            <w:tcW w:w="6975" w:type="dxa"/>
            <w:textDirection w:val="lrTb"/>
            <w:noWrap w:val="false"/>
          </w:tcPr>
          <w:p>
            <w:pPr>
              <w:pStyle w:val="893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 Предмет договора, место оказания услуг и (или) проведения работ, виды услуг и (или) работ не могут изменяться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 ходе его исполнения. Сроки оказания услуг и (или) выполнения работ по договору строительного подряда по соглашению сторон могут быть продлены на период действия одного из следующих обстоятельств при наличии документов, подтверждающих такие обстоятельства: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а) изменение объема оказываемых услуг и (или) выполняемых работ по договору строительного 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одряда по соглашению сторон при согласовании таких изменений собственниками помещений в МКД, уполномоченным представителем собственников таких помещений или органами местного самоуправления в случаях, предусмотренных законодательством Российской Федерации;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б) недопуск собственниками помещений в МКД Подрядной организации к оказанию услуг и (или) выполнению работ по капитальному ремонту МКД по причинам, не связанным с неисполнением или ненадлежащим исполнением такой организацией договора строительного подряда;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в) приостановка оказания услуг и (или) выполнения работ по капитальному ремонту МКД в связи с наступлением отопительного сезона и (или) неблагоприятных погодных условий.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2. При исполнении дог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овора не допускается перемена Подрядной организации, за исключением случаев, если новая Подрядная организация является правопреемником по договору вследствие реорганизации юридического лица в порядке, предусмотренном законодательством Российской Федерации.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3. Расторжение договора допускается: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а) по соглашению сторон;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б) по инициативе Заказчика, в том числе в виде одностороннего расторжения договора, или Подрядной организации (основания такого расторжения устанавливаются в договоре строительного подряда);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в) по решению суда по основаниям, предусмотренным законодательством Российской Федерации.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4. Заказчик вправе расторгнуть договор в одностороннем порядке в следующих случаях: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а) систематическое (2 раза и более) нарушение Подрядной организацией сроков оказания услуг и (или) выполнения работ;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б) задержка Подрядной организацией начала выполнения работ более чем на 10 (десять) календарных дней по причинам, не зависящим от Заказчика или собственников помещений в МКД;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в) неоднократное (2 раза и более в течение одного календарного месяца) несоблюдение (отступление от требований, предусмотре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нных договором строительного подряда, проектной документацией, стандартами, нормами и правилами, а также иными действующими нормативными правовыми актами) Подрядной организацией требований к качеству услуг и (или) работ и (или) технологии проведения работ;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г) неоднократное (2 раза и более в течение одного календарного месяца) использование некачественных материалов, изделий и конструкций, выявленных Заказчиком в соответствии с условиями договора о проведении капитального ремонта МКД;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д) прекращение членства Подрядной организации в саморегулируемой организации, издание актов государственных органов в рамках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 законодательства Российской Федерации, лишающих права Подрядной организации на производство работ; е) нарушение Подрядной организацией сроков оказания услуг и (или) выполнения работ продолжительностью более 30 (тридцати) календарных дней по любому из МКД;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ж) нарушение срока замены независимой гарантии, установленного договором строительного подряда, при отзыве лицензии, банкротстве или ликвидации гаранта более чем на 2 (два) рабочих дня;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з) выявление Заказчиком после заключения 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оговора строительного подряда факта недействительности представленной Подрядной организацией независимой гарантии (представление поддельных документов, получение от гаранта опровержения выдачи независимой гарантии Подрядной организации в письменной форме);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и) неисполнение обязательства о продлении срока независимой гарантии при изменении сроков оказания 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слуг и (или) выполнения работ в связи с изменением по соглашению сторон сроков оказания услуг и (или) выполнения работ либо при нарушении Подрядной организацией предусмотренных договором строительного подряда сроков оказания услуг и (или) выполнения работ.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IV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 Требования к участникам предварительного отбора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 проведении предварительного отбора по предмету последующего электронного аукциона «Оказание услуг и (или) выполнение работ по капитальному ремонту общего имущества многоквартирных домов, являющихся объектами куль</w:t>
      </w:r>
      <w:r>
        <w:rPr>
          <w:rFonts w:ascii="Times New Roman" w:hAnsi="Times New Roman" w:eastAsia="Calibri" w:cs="Times New Roman"/>
          <w:sz w:val="24"/>
          <w:szCs w:val="24"/>
        </w:rPr>
        <w:t xml:space="preserve">турного наследия, в случае, предусмотренном пунктом 4 статьи 56.1 Федерального закона «Об объектах культурного наследия (памятниках истории и культуры) народов Российской Федерации», устанавливаются следующие требования к его участникам (далее – Участник):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 членство в саморегулируемой организации в области строительства, реконстру</w:t>
      </w:r>
      <w:r>
        <w:rPr>
          <w:rFonts w:ascii="Times New Roman" w:hAnsi="Times New Roman" w:eastAsia="Calibri" w:cs="Times New Roman"/>
          <w:sz w:val="24"/>
          <w:szCs w:val="24"/>
        </w:rPr>
        <w:t xml:space="preserve">кции, капитального ремонта объектов капитального строительства. При этом указанное требование не применяется к участникам предварительного отбора, являющимся лицами, указанными в пункте 1 части 2.2 статьи 52 Градостроительного кодекса Российской Федерации;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 наличие у </w:t>
      </w:r>
      <w:r>
        <w:rPr>
          <w:rFonts w:ascii="Times New Roman" w:hAnsi="Times New Roman" w:eastAsia="Calibri" w:cs="Times New Roman"/>
          <w:sz w:val="24"/>
          <w:szCs w:val="24"/>
        </w:rPr>
        <w:t xml:space="preserve">Участника лицензии на осуществление деятельности по сохранению объектов культурного наследия (памятников истории и культуры) народов Российской Федерации в соответствии с законодательством Российской Федерации о лицензировании отдельных видов деятельности;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 отсутствие у Участника задолженности по уплате нал</w:t>
      </w:r>
      <w:r>
        <w:rPr>
          <w:rFonts w:ascii="Times New Roman" w:hAnsi="Times New Roman" w:eastAsia="Calibri" w:cs="Times New Roman"/>
          <w:sz w:val="24"/>
          <w:szCs w:val="24"/>
        </w:rPr>
        <w:t xml:space="preserve">огов, сборов и иных обязательных платежей в бюджеты бюджетной системы Российской Федерации за прошедший календарный год, за исключением случаев обжалования им задолженностей по обязательным платежам в бюджеты бюджетной системы Российской Федерации в соотве</w:t>
      </w:r>
      <w:r>
        <w:rPr>
          <w:rFonts w:ascii="Times New Roman" w:hAnsi="Times New Roman" w:eastAsia="Calibri" w:cs="Times New Roman"/>
          <w:sz w:val="24"/>
          <w:szCs w:val="24"/>
        </w:rPr>
        <w:t xml:space="preserve">тствии с законодательством Российской Федерации, если решение в отношении жалобы на день рассмотрения заявки на участие в предварительном отборе не принято или судебное решение по заявлению на день рассмотрения указанной заявки не вступило в законную силу;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г) отсутствие у Участника за 3 года, предшествующие дате окончания срока подачи заявок на участие в предварительном отборе, контракта или договора по строительству, реконструкции и (или) капитальному ремонту объектов капитального строительства, относящ</w:t>
      </w:r>
      <w:r>
        <w:rPr>
          <w:rFonts w:ascii="Times New Roman" w:hAnsi="Times New Roman" w:eastAsia="Calibri" w:cs="Times New Roman"/>
          <w:sz w:val="24"/>
          <w:szCs w:val="24"/>
        </w:rPr>
        <w:t xml:space="preserve">ихся к той же группе работ, что и предмет предварительного отбора, расторгнутого по решению суда или расторгнутого по требованию одной из сторон такого контракта или договора в случае существенных нарушений Участником условий такого контракта или договора;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д) отсутствие процедуры проведения ликвидации в отношении Участника или отсутствие решения арбитражного суда о признании Участника банкротом и об открытии конкурсного производства;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е) неприостановление деятельности Участника в порядке, предусмотренном Кодексом Российской Федерации об административных правонарушениях, на дату проведения предварительного отбора;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ж) отсутствие конфликта интересов;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з) неприменение в отношении Участника – физического лица либо руководителя, членов коллеги</w:t>
      </w:r>
      <w:r>
        <w:rPr>
          <w:rFonts w:ascii="Times New Roman" w:hAnsi="Times New Roman" w:eastAsia="Calibri" w:cs="Times New Roman"/>
          <w:sz w:val="24"/>
          <w:szCs w:val="24"/>
        </w:rPr>
        <w:t xml:space="preserve">ального исполнительного органа или главного бухгалтера юридического лица - Участника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и) отсутствие сведений об Участнике в реестре недобросовестных поставщиков (подрядчиков, исполнителей), ве</w:t>
      </w:r>
      <w:r>
        <w:rPr>
          <w:rFonts w:ascii="Times New Roman" w:hAnsi="Times New Roman" w:eastAsia="Calibri" w:cs="Times New Roman"/>
          <w:sz w:val="24"/>
          <w:szCs w:val="24"/>
        </w:rPr>
        <w:t xml:space="preserve">дение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к) отсутствие сведений об Участнике в реестре недобросовестных подрядных организаций, ведение которого осуществляется федеральным органом исполнительной власти в порядке, установленном разделом VII Положения;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л) невозможность для Участника являться юридическим лицом, местом регистрации которого является государство или территория, включенные в утверждаемый в соответствии с подпунктом 1 пункта 3 статьи 284 Налог</w:t>
      </w:r>
      <w:r>
        <w:rPr>
          <w:rFonts w:ascii="Times New Roman" w:hAnsi="Times New Roman" w:eastAsia="Calibri" w:cs="Times New Roman"/>
          <w:sz w:val="24"/>
          <w:szCs w:val="24"/>
        </w:rPr>
        <w:t xml:space="preserve">ового кодекса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в отношении юридических лиц;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м) наличие в штате У</w:t>
      </w:r>
      <w:r>
        <w:rPr>
          <w:rFonts w:ascii="Times New Roman" w:hAnsi="Times New Roman" w:eastAsia="Calibri" w:cs="Times New Roman"/>
          <w:sz w:val="24"/>
          <w:szCs w:val="24"/>
        </w:rPr>
        <w:t xml:space="preserve">частника работников, соответствующих установленным пунктом 1 части 6 статьи 55.5 Градостроительного кодекса Российской Федерации квалификационным требованиям, в количестве, установленном в Приложении № 4 к Документации о проведении предварительного отбора,</w:t>
      </w:r>
      <w:r>
        <w:rPr>
          <w:rFonts w:eastAsia="Calibri" w:cs="Times New Roman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но не ниже количества, установленного пунктом 2 части 6 статьи 55.5 Градостроительного кодекса Российской Федерации;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н) наличие у Участника за 3 года, предшествующие дате окончания срока подачи заявок на участие в предварительном отборе, опыта оказания услуг и (или) выполнения работ, аналогичных предмету проводимого предварительного отбора, не м</w:t>
      </w:r>
      <w:r>
        <w:rPr>
          <w:rFonts w:ascii="Times New Roman" w:hAnsi="Times New Roman" w:eastAsia="Calibri" w:cs="Times New Roman"/>
          <w:sz w:val="24"/>
          <w:szCs w:val="24"/>
        </w:rPr>
        <w:t xml:space="preserve">енее чем по 3 исполненным контрактам и (или) договорам, предметом которых являлись строительство, реконструкция, капитальный ремонт зданий, являющихся объектами капитального строительства, в том числе по договорам, заключенным в соответствии с Положением.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 этом, минимальный размер стоимости оказанных услуг и (или) выполненных работ по указанным исполненным контракт</w:t>
      </w:r>
      <w:r>
        <w:rPr>
          <w:rFonts w:ascii="Times New Roman" w:hAnsi="Times New Roman" w:eastAsia="Calibri" w:cs="Times New Roman"/>
          <w:sz w:val="24"/>
          <w:szCs w:val="24"/>
        </w:rPr>
        <w:t xml:space="preserve">ам и (или) договорам установлен в Приложении № 2 к Документации о проведении предварительного отбора в размере не более 10 процентов предельного размера обязательств по договорам строительного подряда, в соответствии с которым Участником как членом саморег</w:t>
      </w:r>
      <w:r>
        <w:rPr>
          <w:rFonts w:ascii="Times New Roman" w:hAnsi="Times New Roman" w:eastAsia="Calibri" w:cs="Times New Roman"/>
          <w:sz w:val="24"/>
          <w:szCs w:val="24"/>
        </w:rPr>
        <w:t xml:space="preserve">улируемой организации, основанной на членстве лиц, осуществляющих строительство, внесен взнос в компенсационный фонд обеспечения договорных обязательств, сформированный в соответствии с частью 2 статьи 55.16 Градостроительного кодекса Российской Федерации.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Размер стоимости оказанных</w:t>
      </w:r>
      <w:r>
        <w:rPr>
          <w:rFonts w:ascii="Times New Roman" w:hAnsi="Times New Roman" w:eastAsia="Calibri" w:cs="Times New Roman"/>
          <w:sz w:val="24"/>
          <w:szCs w:val="24"/>
        </w:rPr>
        <w:t xml:space="preserve"> услуг и (или) выполненных работ по всем исполненным контрактам и (или) договорам, представленным Участником и соответствующим требованиям пункта 23 Положения, определяется как совокупная стоимость услуг и (или) работ по таким контрактам и (или) договорам.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highlight w:val="white"/>
        </w:rPr>
      </w:pP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н) отсутствие в отношении участника предварительного отбора решения об исключении подрядной организации из реестра квалифицированны</w:t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х подрядных организаций в случае установления одного из фактов, указанных в подпунктах "з" - "к" пункта 66 настоящего Положения, в течение года до даты рассмотрения заявок на участие в предварительном отборе комиссией по проведению предварительного отбора.</w:t>
      </w:r>
      <w:r>
        <w:rPr>
          <w:rFonts w:ascii="Times New Roman" w:hAnsi="Times New Roman" w:eastAsia="Calibri" w:cs="Times New Roman"/>
          <w:highlight w:val="white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V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 Требования к содержанию, форме и составу заявки на участие в предварительном отборе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1. Участник должен подготовить Заявку по форме Приложения № 1 к Документации о проведении предварительного отбора, которая должна содержать полное наименование, сведения </w:t>
      </w:r>
      <w:r>
        <w:rPr>
          <w:rFonts w:ascii="Times New Roman" w:hAnsi="Times New Roman" w:eastAsia="Calibri" w:cs="Times New Roman"/>
          <w:sz w:val="24"/>
          <w:szCs w:val="24"/>
        </w:rPr>
        <w:t xml:space="preserve">об организационно-правовой форме, о месте нахождения, об адресе юридического лица,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</w:t>
      </w:r>
      <w:r>
        <w:rPr>
          <w:rFonts w:ascii="Times New Roman" w:hAnsi="Times New Roman" w:eastAsia="Calibri" w:cs="Times New Roman"/>
          <w:sz w:val="24"/>
          <w:szCs w:val="24"/>
        </w:rPr>
        <w:t xml:space="preserve">гана участника предварительного отбора, - для юридического лица, или фамилию, имя, отчество, паспортные данные, сведения о месте жительства, номер контактного телефона - для физического лица, зарегистрированного в качестве индивидуального предпринимателя.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2. Участник должен подписать Заявку усиленной квалифицированной электронной подписью.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3. Ключи усиленных квалифицированных электронных подписей должны быть созданы и выданы удостоверяющими центрами, получившими аккредитацию на соответствие требованиям Федерального закона от 6 апреля 2011 года № 63-ФЗ «Об электронной подписи».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4. В состав Заявки включаются следующие документы: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 выпи</w:t>
      </w:r>
      <w:r>
        <w:rPr>
          <w:rFonts w:ascii="Times New Roman" w:hAnsi="Times New Roman" w:eastAsia="Calibri" w:cs="Times New Roman"/>
          <w:sz w:val="24"/>
          <w:szCs w:val="24"/>
        </w:rPr>
        <w:t xml:space="preserve">ска из Единого государственного реестра юридических лиц или засвидетельствованная в нотариальном порядке копия такой выписки, полученная не ранее чем за 30 календарных дней до даты подачи заявки на участие в предварительном отборе, – для юридического лица;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выписка из Единого государственного реестра индивидуальных предпринимателей или зас</w:t>
      </w:r>
      <w:r>
        <w:rPr>
          <w:rFonts w:ascii="Times New Roman" w:hAnsi="Times New Roman" w:eastAsia="Calibri" w:cs="Times New Roman"/>
          <w:sz w:val="24"/>
          <w:szCs w:val="24"/>
        </w:rPr>
        <w:t xml:space="preserve">видетельствованная в нотариальном порядке копия такой выписки, полученная не ранее чем за 30 календарных дней до даты подачи заявки на участие в предварительном отборе, – для физического лица, зарегистрированного в качестве индивидуального предпринимателя;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 копии учредительных документов Участника предварительного отбора - для юридического лица;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 копия засвидетельствованного в нотариальном порядке перевода на русский язык документов о государственной регистрации юрид</w:t>
      </w:r>
      <w:r>
        <w:rPr>
          <w:rFonts w:ascii="Times New Roman" w:hAnsi="Times New Roman" w:eastAsia="Calibri" w:cs="Times New Roman"/>
          <w:sz w:val="24"/>
          <w:szCs w:val="24"/>
        </w:rPr>
        <w:t xml:space="preserve">ического лица или физического лица в качестве индивидуального предпринимателя в соответствии с законодательством иностранного государства, полученная не ранее чем за 6 месяцев до дня подачи заявки на участие в предварительном отборе, – для иностранных лиц;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г) документ, подтверждающий полномочия лица на осуществление действий от имени участника предварительного отбора;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д) выписка из реестра лицензий на осуществление деятельности по сохранению объектов культурного наследия (памятников истории и культуры) народов Российской Федерации, представленная в форме электронного документа, подписанного усиленной квал</w:t>
      </w:r>
      <w:r>
        <w:rPr>
          <w:rFonts w:ascii="Times New Roman" w:hAnsi="Times New Roman" w:eastAsia="Calibri" w:cs="Times New Roman"/>
          <w:sz w:val="24"/>
          <w:szCs w:val="24"/>
        </w:rPr>
        <w:t xml:space="preserve">ифицированной электронной подписью лицензирующего органа либо в случае ведения указанного реестра лицензий в информационной системе, оператором которой является федеральный орган исполнительной власти, электронной подписью указанной информационной системы;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е) копия справки налогового органа об отсутствии задолженности по уплате налогов, сборов и иных обязательных платежей в бюджеты бюджетной системы Российской Федерации, полученная не ранее 1 января года, в котором подается заявка;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highlight w:val="white"/>
        </w:rPr>
      </w:pP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ж) копия расчета по страховым взносам, представляемого плательщиками страховых взносов, составленного за последний отчетный период, предшествующий дате подачи заяв</w:t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ки на участие в предварительном отборе, по форме, утвержденной уполномоченным органом, с отметкой уполномоченного органа о приеме или с приложением копии документов, подтверждающих прием уполномоченным органом такого расчета в форме электронного документа;</w:t>
      </w:r>
      <w:r>
        <w:rPr>
          <w:rFonts w:ascii="Times New Roman" w:hAnsi="Times New Roman" w:eastAsia="Calibri" w:cs="Times New Roman"/>
          <w:highlight w:val="white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з) копия штатного расписания;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и) штатно-списочный состав сотрудников (рекомендуется представлять в соответствии с формой, установленной в Приложении № 3 к Документации</w:t>
      </w:r>
      <w: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о проведении предварительного отбора);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к) копии трудовых книжек и (или) сведения о трудовой деяте</w:t>
      </w:r>
      <w:r>
        <w:rPr>
          <w:rFonts w:ascii="Times New Roman" w:hAnsi="Times New Roman" w:eastAsia="Calibri" w:cs="Times New Roman"/>
          <w:sz w:val="24"/>
          <w:szCs w:val="24"/>
        </w:rPr>
        <w:t xml:space="preserve">льности, предусмотренные статьей 66.1 Трудового кодекса Российской Федерации, копии дипломов, сертификатов, аттестатов и удостоверений, подтверждающих наличие у участника предварительного отбора в штате минимального количества квалифицированного персонала;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л) копии не менее 3 исполненных контрактов и (или) договоров, подтверждающих наличие у Участника, предусмотренного подпунктом «п» </w:t>
      </w:r>
      <w:r>
        <w:rPr>
          <w:rFonts w:ascii="Times New Roman" w:hAnsi="Times New Roman" w:eastAsia="Calibri" w:cs="Times New Roman"/>
          <w:sz w:val="24"/>
          <w:szCs w:val="24"/>
        </w:rPr>
        <w:t xml:space="preserve">пункта 23 Положения, опыта оказания услуг и (или) выполнения работ, аналогичных предмету проводимого предварительного отбора, в которых указаны установленный срок оказания услуг и (или) выполнения работ и их первоначальная стоимость, копии актов приемки ок</w:t>
      </w:r>
      <w:r>
        <w:rPr>
          <w:rFonts w:ascii="Times New Roman" w:hAnsi="Times New Roman" w:eastAsia="Calibri" w:cs="Times New Roman"/>
          <w:sz w:val="24"/>
          <w:szCs w:val="24"/>
        </w:rPr>
        <w:t xml:space="preserve">азанных услуг и (или) выполненных работ или иных документов по таким контрактам и (или) договорам, в которых указана их окончательная стоимость и которыми подтверждается приемка заказчиком услуг и (или) работ, оказанных и (или) выполненных в полном объеме.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Обобщенные сведения о наличии контрактов и (или) договоров и их выполнении рекомендуется представить по форме, установленной в Приложении № 5 к Документации</w:t>
      </w:r>
      <w: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о проведении предварительного отбора.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highlight w:val="white"/>
        </w:rPr>
      </w:pP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м) согласие на обработку персональных данных в соответствии с Федеральным законом "О персональных данных" каждого работника, персональные данные которого содержатся в заявке на участие в предварительном отборе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(рекомендуется представлять в соответствии с формой, установленной в Приложении № 6 к Документации о проведении предварительного отбора)</w:t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eastAsia="Calibri" w:cs="Times New Roman"/>
          <w:highlight w:val="white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i/>
          <w:sz w:val="24"/>
          <w:szCs w:val="24"/>
        </w:rPr>
      </w:pPr>
      <w:r>
        <w:rPr>
          <w:rFonts w:ascii="Times New Roman" w:hAnsi="Times New Roman" w:eastAsia="Calibri" w:cs="Times New Roman"/>
          <w:i/>
          <w:sz w:val="24"/>
          <w:szCs w:val="24"/>
        </w:rPr>
      </w:r>
      <w:r>
        <w:rPr>
          <w:rFonts w:ascii="Times New Roman" w:hAnsi="Times New Roman" w:eastAsia="Calibri" w:cs="Times New Roman"/>
          <w:i/>
          <w:sz w:val="24"/>
          <w:szCs w:val="24"/>
        </w:rPr>
      </w:r>
    </w:p>
    <w:p>
      <w:pPr>
        <w:pStyle w:val="893"/>
        <w:ind w:left="360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VI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Порядок подачи заявок на участие в предварительном отборе подрядных организаций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 подачи Заявки Участник должен зарегистрироваться на сайте оператора электронной площадки в соответствии с регламентом работы электронной площадки.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 Регистрация на электронной площадке, а также участие в предварительном отборе осуществляется без взимания платы с Участника.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 Заявка, а также все сведения и документы, которые входят в ее состав, подаются Участником через оператора электронной площадки в виде электронного документа в соответствии с правилами, установленными оператором электронной площадки.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Участник вправе подать только одну Заявку, пока она не рассмотрена в порядке, предусмотренном Документацией о проведении предварительного отбора, и по ней не принято решение об отказе во включении Участника в реестр квалифицированных подрядных организаций.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5. Участник, подавший Заявку, вправе ее изменить.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6. Внесение изменений в Заявку осуществляется через сайт оператора электронной площадки в соответствии с регламентом работы электронной площадки. Изменения, которые вносятся в Заявку должны быть подписаны усиленной квалифицированной электронной подписью.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7. Ключи усиленных квалифицированных электронных подписей должны быть созданы и выданы удостоверяющими центрами, получившими аккредитацию на соответствие требованиям Федерального закона от 6 апреля 2011 года № 63-ФЗ «Об электронной подписи».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8. В случае установления факта подачи одним Участником 2 (двух) и более Заявок при условии, что поданные ранее Заявки не отозваны, все Заявки такого Участника не рассматриваются.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9. Заявка подается Участником не ранее даты, указанной в разделе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I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Документации о проведении предварительного отбора.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10.</w:t>
      </w:r>
      <w: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Заявки, поданные ранее даты и времени, указанные в разделе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I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Документации о проведении предварительного отбора, не принимаются оператором электронной площадки и возвращаются Участнику.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11. Каждая Заявка, поступившая в установленные сроки, регистрируется оператором электронной площадки, с присвоением порядкового номера.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12. Установленные дата и время окончания срока подачи Заявок могут быть продлены Органом по ведению РКПО в случаях, предусмотренных нормами действующего законодательства Российской Федерации.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893"/>
        <w:ind w:left="360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VII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Порядок и срок отзыва заявок на участие в предварительном отборе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Участник, подавший Заявку, вправе ее отозвать.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Заявка может быть отозвана до даты и времени окончания срока подачи Заявок, указанных в разделе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I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Документации о проведении предварительного отбора.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Отзыв Заявки осуществляется через сайт оператора электронной площадки, в соответствии с регламентом работы электронной площадки.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Уведомление об отзыве Заявки должно быть подписано усиленной квалифицированной электронной подписью Участника.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Ключи усиленных квалифицированных электронных подписей должны быть созданы и выданы удостоверяющими центрами, получившими аккредитацию на соответствие требованиям Федерального закона от 6 апреля 2011 года № 63-ФЗ «Об электронной подписи».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893"/>
        <w:ind w:left="360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VIII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Форма, порядок, и сроки предоставления участникам предварительного отбора разъяснений положений Документации о проведении предварительного отбора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pStyle w:val="893"/>
        <w:ind w:left="360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Любое заинтересованное лицо вправе направить в орган по ведению РКПО запрос о разъяснении Документации о проведении предварительного отбора (далее – Запрос).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Запрос направляется в виде электронного документа через сайт оператора электронной площадки в соответствии с регламентом работы электронной площадки.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left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Запросы принимаются до 23 </w:t>
      </w:r>
      <w:bookmarkStart w:id="0" w:name="_GoBack"/>
      <w:r/>
      <w:bookmarkEnd w:id="0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апреля 2026 года.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 В случае если Запрос поступил в сроки, указанные в пункте 3 настоящего раздела, Орган по ведени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ю РКПО в течение 3 (трех) рабочих дней со дня поступления Запроса обязан опубликовать на официальном сайте и сайте оператора электронной площадки разъяснения Документации о проведении предварительного отбора без указания лица, от которого поступил Запрос.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5. В случае если Запрос поступил позднее даты, указанной в пункте 3 настоящего раздела, данный Запрос не рассматривается Органом по ведению РКПО.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6. Запрос должен быть подписан, усиленной квалифицированной электронной подписью лица, направившего Запрос.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7. Ключи усиленных квалифицированных электронных подписей должны быть созданы и выданы удостоверяющими центрами, получившими аккредитацию на соответствие требованиям Федерального закона от 6 апреля 2011 года № 63-ФЗ «Об электронной подписи».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893"/>
        <w:ind w:left="360"/>
        <w:jc w:val="both"/>
        <w:spacing w:before="0" w:after="0" w:line="240" w:lineRule="auto"/>
        <w:tabs>
          <w:tab w:val="left" w:pos="426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IX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Порядок рассмотрения заявок на участие в предварительном отборе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ind w:left="360"/>
        <w:jc w:val="both"/>
        <w:spacing w:before="0" w:after="0" w:line="240" w:lineRule="auto"/>
        <w:tabs>
          <w:tab w:val="left" w:pos="426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69"/>
        <w:numPr>
          <w:ilvl w:val="0"/>
          <w:numId w:val="1"/>
        </w:numPr>
        <w:contextualSpacing/>
        <w:jc w:val="center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Общие положения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93"/>
        <w:ind w:left="142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Поступившие от Участников Заявки рассматриваются комиссией по проведению предварительного отбора (далее – Комиссия).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Комиссия, ее персональный состав, а также порядок ее работы утверждаются Органом по ведению РКПО до начала проведения предварительного отбора.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Информация о Комиссии, порядке ее деятельности, а также о дате, месте и времени рассмотрения Заявок Участников размещена на сайте Органа по ведению РКПО.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1.4.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Участие в предварительном отборе и заседаниях Комиссии осуществляется без взимания платы с Участника.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1.5.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Протоколы Комиссии, составленные в ходе рассмотрения Заявок, хранятся Органом по ведению РКПО не менее 3 (трех) лет.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1.6.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Членами Комиссии не могут быть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заинтересованные лица либо лица, на которых способны оказать влияние Участники (в том числе физические лица, являющиеся участниками (акционерами) этих организаций, членами их органов управления, кредиторами указанных участников предварительного отбора, либ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 физические лица, состоящие в браке с руководителем участника предварительного отбора либо являющиеся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нородными (имеющими общих отца или мать) братьями и сестрами), усыновителями руководителя участника предварительного отбора или усыновленными им). В случае выявления в составе Комиссии указанных лиц Участник должен сообщить об этом Органу по ведению РКПО.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1.7.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Включение в реестр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квалифицированных подрядных организаций информации об Участнике, исключение из него информации об Участнике, а также содержащаяся в реестре квалифицированных подрядных организаций информация могут быть обжалованы заинтересованным лицом в судебном порядке.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69"/>
        <w:numPr>
          <w:ilvl w:val="0"/>
          <w:numId w:val="1"/>
        </w:numPr>
        <w:contextualSpacing/>
        <w:jc w:val="center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Порядок рассмотрения Заявок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93"/>
        <w:contextualSpacing/>
        <w:ind w:left="3192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Заявки должны быть рассмотрены Комиссией до установленной в Извещении и Документацией о проведении предварительного отбора даты окончания срока рассмотрения Заявок.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Информация о дате, времени и месте рассмотрения Комиссий Заявки направляется подавшему ее Участнику через сайт оператора электронной площадки, а также размещается на сайте Органа по ведению РКПО.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Любой Участник и (или) его представитель вправе участвовать в заседаниях Комиссии и осуществлять аудио- и (или) видеозаписи заседания Комиссии.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2.4.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 проведении предварительного отбора какие-либо переговоры о таком отборе между членами Комиссии и Участниками не допускаются. В случае нарушения указанного запрета проведение предварительного отбора может быть признано недействительным в судебном порядке.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2.5.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Комиссия рассматривает Заявки и Участников на их соответствие требованиям, установленным в Документации о проведении предварительного отбора.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2.6.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 основании результатов рассмотрения Заявок Комиссия принимает одно из следующих решений: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а) включение Участника в реестр квалифицированных подрядных организаций;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б) отказ во включении Участника в реестр квалифицированных подрядных организаций.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2.7.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Решение Комиссии об отказе во включении Участника в реестр квалифицированных подрядных организаций принимается в следующих случаях: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несоответствие Участника требованиям, установленным в Документации о проведении предварительного отбора;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несоответствие Заявки требованиям, установленным в Документации о проведении предварительного отбора;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установление факта представления Участником недостоверной информации (сведений, документов) в составе Заявки.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2.8.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Невключение в реестр квалифицированных подрядных организаций по иным основаниям, кроме случаев, указанных в пункте 2.7 настоящего Порядка, не допускается.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2.9.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Орган по ведению РКП в течение 2 (двух) рабочих дней с даты принятия решения, указанного в подпункте «а» пункта 2.6 настоящего раздела, включает информацию об Участнике в реестр квалифицированных подрядных организаций.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left="142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93"/>
        <w:ind w:left="142"/>
        <w:jc w:val="center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Принятие решения о признании предварительного отбора несостоявшимся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93"/>
        <w:ind w:left="142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Предварительный отбор признается Комиссией несостоявшимся в следующих случаях: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если после установленных в Извещении даты и времени окончания срока подачи Заявок подана единственная Заявка или не подано ни одной Заявки;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принятия Комиссией решения о невключении в реестр квалифицированных подрядных организаций всех Участников, подавших Заявки до указанных в Извещении даты и времени окончания срока подачи Заявок.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признания предварительного отбора несостоявшимся Орган по ведению РКПО принимает решение об объявлении процедуры предварительного отбора повторно.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формация о принятом решении, указанном в пункте 3.1 и 3.2 настоящего раздела, размещается Органом по ведению РКПО на официальном сайте и сайте оператора электронной площадки, в течение 2 рабочих дней со дня признания предварительного отбора несостоявшимся.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3.4.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если предварительный отбор 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ризнан несостоявшимся в связи с подачей единственной Заявки и Участник, подавший такую Заявку, соответствует требованиям, установленным в Документации о проведении предварительного отбора, то он включается в реестр квалифицированных подрядных организаций.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left="142"/>
        <w:jc w:val="center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4.</w:t>
      </w:r>
      <w:r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Протокол заседания Комиссии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Результаты рассмотрения Заявок и принимаемые Комиссией решения, оформляются протоколом Комиссии, который подписывается всеми членами Комиссии, участвующими в заседании.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Протокол оформляется и размещается Органом по ведению РКПО на официальном сайте и сайте оператора электронной площадки в течение 2 (двух) рабочих дней со дня его подписания.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протоколе указывается информация о месте, дате и времени рассмотрения заявок на участие в предварительном отборе, номер предварительного отбора, наименование (для юридического лица), адрес электр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онной площадки в сети «Интернет», на которой проводится предварительный отбор, фамилия, имя, отчество (при наличии) (для физического лица, зарегистрированного в качестве индивидуального предпринимателя), адрес юридического лица и электронный адрес, идентиф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икационный номер налогоплательщика каждого участника предварительного отбора, наличие информации и документов, предусмотренных документацией о проведении предварительного отбора, состав членов комиссии, участвующих в рассмотрении заявок, принятые решения.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4.4. При принятии комиссией по предварительному отбору решения об отказе во включении участника предварительного отбора в реестр квалифицированных подрядных организаций в протоколе указывается обоснование такого решени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я со ссылками на нормы Положения, которым не соответствует участник предварительного отбора, на положения документации о проведении предварительного отбора, которым не соответствует заявка этого участника, на документы, подтверждающие такое несоответствие.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  <w:sectPr>
          <w:headerReference w:type="default" r:id="rId9"/>
          <w:headerReference w:type="even" r:id="rId10"/>
          <w:headerReference w:type="first" r:id="rId11"/>
          <w:footerReference w:type="default" r:id="rId20"/>
          <w:footerReference w:type="even" r:id="rId21"/>
          <w:footerReference w:type="first" r:id="rId22"/>
          <w:footnotePr/>
          <w:endnotePr/>
          <w:type w:val="nextPage"/>
          <w:pgSz w:w="11906" w:h="16838" w:orient="portrait"/>
          <w:pgMar w:top="1134" w:right="567" w:bottom="766" w:left="1418" w:header="709" w:footer="709" w:gutter="0"/>
          <w:pgNumType w:start="1"/>
          <w:cols w:num="1" w:sep="0" w:space="1701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4.5.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принятии Комиссией решения о включении Участника в реестр квалифицированных подрядных организаций в протоколе указывается </w:t>
      </w:r>
      <w:r>
        <w:rPr>
          <w:rFonts w:ascii="Times New Roman" w:hAnsi="Times New Roman" w:eastAsia="Calibri" w:cs="Times New Roman"/>
          <w:sz w:val="24"/>
          <w:szCs w:val="24"/>
        </w:rPr>
        <w:t xml:space="preserve">предельный размер обязательств участника предварительного отбора по обязательствам по договорам строительного подряда, заключаемым с использованием конкурентны</w:t>
      </w:r>
      <w:r>
        <w:rPr>
          <w:rFonts w:ascii="Times New Roman" w:hAnsi="Times New Roman" w:eastAsia="Calibri" w:cs="Times New Roman"/>
          <w:sz w:val="24"/>
          <w:szCs w:val="24"/>
        </w:rPr>
        <w:t xml:space="preserve">х способов заключения договоров, в соответствии с которым такой участник предварительного отбора, как член соответствующей саморегулируемой организации, внес взнос в компенсационный фонд обеспечения договорных обязательств, сформированный в соответствии с </w:t>
      </w:r>
      <w:hyperlink r:id="rId33" w:tooltip="consultantplus://offline/ref=A2283303C7D254AD7348380E740FF25A10E2ED22CEB7A37225481EC656EC239C45C4E1787FF2A849uEg7B" w:history="1">
        <w:r>
          <w:rPr>
            <w:rFonts w:ascii="Times New Roman" w:hAnsi="Times New Roman" w:eastAsia="Calibri" w:cs="Times New Roman"/>
            <w:sz w:val="24"/>
            <w:szCs w:val="24"/>
          </w:rPr>
          <w:t xml:space="preserve">частью 2 статьи 55.16</w:t>
        </w:r>
      </w:hyperlink>
      <w:r>
        <w:rPr>
          <w:rFonts w:ascii="Times New Roman" w:hAnsi="Times New Roman" w:eastAsia="Calibri" w:cs="Times New Roman"/>
          <w:sz w:val="24"/>
          <w:szCs w:val="24"/>
        </w:rPr>
        <w:t xml:space="preserve"> Градостроительного кодекса Российской Федерации.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5670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Приложение № 1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584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ФОРМА ЗАЯВКИ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НА УЧАСТИЕ В ПРЕДВАРИТЕЛЬНОМ ОТБОРЕ ПОДРЯДНЫХ ОРГАНИЗАЦИЙ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 ИЗВЕЩЕНИЮ № ___ ОТ __________________*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ind w:left="584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584"/>
        <w:jc w:val="right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u w:val="single"/>
        </w:rPr>
        <w:t xml:space="preserve">«</w:t>
        <w:tab/>
        <w:t xml:space="preserve">      »</w:t>
      </w:r>
      <w:r>
        <w:rPr>
          <w:rFonts w:ascii="Times New Roman" w:hAnsi="Times New Roman" w:eastAsia="Calibri" w:cs="Times New Roman"/>
          <w:sz w:val="24"/>
          <w:szCs w:val="24"/>
        </w:rPr>
        <w:t xml:space="preserve"> ______________ 2__ года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Изучив условия Извещения о проведении предварительного отбора подрядных организаций № __________ от __________, и принимая установленные в нём требования и условия,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         (указывается полное наименование, организационно правовая форма участника предварительного отбора или ФИО индивидуального предпринимателя)</w:t>
      </w:r>
      <w:r>
        <w:rPr>
          <w:rFonts w:ascii="Times New Roman" w:hAnsi="Times New Roman" w:eastAsia="Calibri" w:cs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 w:eastAsia="Calibri" w:cs="Times New Roman"/>
          <w:sz w:val="24"/>
          <w:szCs w:val="24"/>
        </w:rPr>
        <w:t xml:space="preserve"> в лице 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           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(указывается фамилия, имя, отчество (при наличии) представителя участника предварительного отбора – юридического лица)    действующего на основании (указывается документ, на основании которого действует представитель юридического лица или физического лица)</w:t>
      </w:r>
      <w:r>
        <w:rPr>
          <w:rFonts w:ascii="Times New Roman" w:hAnsi="Times New Roman" w:eastAsia="Calibri" w:cs="Times New Roman"/>
          <w:sz w:val="24"/>
          <w:szCs w:val="24"/>
        </w:rPr>
        <w:t xml:space="preserve">     просит рассмотреть заявку на участие в предварительном отборе подрядных организаций по предмету отбора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                                (указывается предмет предварительного отбора) .</w:t>
      </w:r>
      <w:r>
        <w:rPr>
          <w:rFonts w:ascii="Times New Roman" w:hAnsi="Times New Roman" w:eastAsia="Calibri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Документация о проведении предварительного отбора изучена в полном объеме и признана полной и достаточной для подготовки настоящей Заявки.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both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Настоящим гарантируем достоверность представленной информации и подтверждаем право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(указывается наименование органа по ведению реестра квалифицированных подрядных организаций)      </w:t>
      </w:r>
      <w:r>
        <w:rPr>
          <w:rFonts w:ascii="Times New Roman" w:hAnsi="Times New Roman" w:eastAsia="Calibri" w:cs="Times New Roman"/>
          <w:sz w:val="24"/>
          <w:szCs w:val="24"/>
        </w:rPr>
        <w:t xml:space="preserve">получать в открытых информационных источниках, в уполномоченных органах власти информацию, уточняющую представленные нами в заявке сведения.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709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Сообщаем о себе следующее: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numPr>
          <w:ilvl w:val="0"/>
          <w:numId w:val="1"/>
        </w:numPr>
        <w:ind w:left="0" w:firstLine="0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Полное наименование организации и сведения об организационно-правовой форме (или Фамилия Имя Отчество (при наличии отчества) для индивидуального предпринимателя): __________________________________________________________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numPr>
          <w:ilvl w:val="0"/>
          <w:numId w:val="1"/>
        </w:numPr>
        <w:ind w:left="0" w:firstLine="0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Адрес юридического лица (или адрес места жительства – для индивидуального предпринимателя): _________________________________________________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numPr>
          <w:ilvl w:val="0"/>
          <w:numId w:val="1"/>
        </w:numPr>
        <w:ind w:left="0" w:firstLine="0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Адрес для почтовых отправлений: 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numPr>
          <w:ilvl w:val="0"/>
          <w:numId w:val="1"/>
        </w:numPr>
        <w:ind w:left="0" w:firstLine="0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Телефон:_________________________________________________________________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numPr>
          <w:ilvl w:val="0"/>
          <w:numId w:val="1"/>
        </w:numPr>
        <w:ind w:left="0" w:firstLine="0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Адрес электронной почты: _________________________________________________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numPr>
          <w:ilvl w:val="0"/>
          <w:numId w:val="1"/>
        </w:numPr>
        <w:ind w:left="0" w:firstLine="0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Учредители - полное наименование юридического лица и его организационно правовая форма (или ФИО для учредителя – физического лица)/ ИНН: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 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 __________________________________/ИНН 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 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numPr>
          <w:ilvl w:val="0"/>
          <w:numId w:val="1"/>
        </w:numPr>
        <w:ind w:left="0" w:firstLine="0"/>
        <w:jc w:val="both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ФИО членов коллегиального исполнительного органа/ ИНН: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 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 __________________________________/ИНН 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 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numPr>
          <w:ilvl w:val="0"/>
          <w:numId w:val="1"/>
        </w:numPr>
        <w:ind w:left="0" w:firstLine="0"/>
        <w:jc w:val="both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ФИО единоличного исполнительного органа/ ИНН: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____________________________________/ИНН____________________________________,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numPr>
          <w:ilvl w:val="0"/>
          <w:numId w:val="1"/>
        </w:numPr>
        <w:ind w:left="0" w:firstLine="0"/>
        <w:jc w:val="both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ФИО лиц, уполномоченных действовать от имени участника предварительного отбора: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spacing w:before="0" w:after="12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 ____________________________________________;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spacing w:before="0" w:after="12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 ____________________________________________;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spacing w:before="0" w:after="12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 ____________________________________________;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spacing w:before="0" w:after="12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г) ____________________________________________;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numPr>
          <w:ilvl w:val="0"/>
          <w:numId w:val="1"/>
        </w:numPr>
        <w:ind w:left="0" w:firstLine="0"/>
        <w:jc w:val="both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Настоящим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          (указывается полное наименование и организационно-правовая форма юридического лица или Фамилия Имя Отчество (при наличии отчества) для индивидуального предпринимателя)        </w:t>
      </w:r>
      <w:r>
        <w:rPr>
          <w:rFonts w:ascii="Times New Roman" w:hAnsi="Times New Roman" w:eastAsia="Calibri" w:cs="Times New Roman"/>
          <w:sz w:val="24"/>
          <w:szCs w:val="24"/>
        </w:rPr>
        <w:t xml:space="preserve">подтверждает соответствие требованиям, установленным в Документации о проведении предварительного отбора.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850"/>
        <w:jc w:val="both"/>
        <w:spacing w:before="0" w:after="0" w:line="240" w:lineRule="auto"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jc w:val="both"/>
        <w:spacing w:before="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Приложения: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(указываются перечень прилагаемых документов, перечисленных в пункте 4 раздела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  <w:lang w:val="en-US"/>
        </w:rPr>
        <w:t xml:space="preserve">V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. Документации о проведении предварительного отбора)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spacing w:before="0" w:after="0" w:line="240" w:lineRule="auto"/>
        <w:rPr>
          <w:rFonts w:ascii="Times New Roman" w:hAnsi="Times New Roman" w:eastAsia="Calibri" w:cs="Times New Roman"/>
          <w:i/>
          <w:sz w:val="24"/>
          <w:szCs w:val="24"/>
        </w:rPr>
      </w:pPr>
      <w:r>
        <w:rPr>
          <w:rFonts w:ascii="Times New Roman" w:hAnsi="Times New Roman" w:eastAsia="Calibri" w:cs="Times New Roman"/>
          <w:i/>
          <w:sz w:val="24"/>
          <w:szCs w:val="24"/>
        </w:rPr>
      </w:r>
      <w:r>
        <w:rPr>
          <w:rFonts w:ascii="Times New Roman" w:hAnsi="Times New Roman" w:eastAsia="Calibri" w:cs="Times New Roman"/>
          <w:i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Приложение № 2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МИНИМАЛЬНЫЙ РАЗМЕР СТОИМОСТИ ОКАЗАННЫХ УСЛУГ И (ИЛИ) ВЫПОЛНЕННЫХ РАБОТ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tbl>
      <w:tblPr>
        <w:tblW w:w="9494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3"/>
        <w:gridCol w:w="5318"/>
        <w:gridCol w:w="3613"/>
      </w:tblGrid>
      <w:tr>
        <w:tblPrEx/>
        <w:trPr>
          <w:trHeight w:val="3552"/>
        </w:trPr>
        <w:tc>
          <w:tcPr>
            <w:shd w:val="clear" w:color="auto" w:fill="d9d9d9" w:themeFill="background1" w:themeFillShade="D9"/>
            <w:tcW w:w="563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shd w:val="clear" w:color="auto" w:fill="d9d9d9" w:themeFill="background1" w:themeFillShade="D9"/>
            <w:tcW w:w="5318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Предельный размер обязательств по договорам строительного подряда, в соответствии с которым Участником как членом саморе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гулируемой организации, основанной на членстве лиц, осуществляющих строительство, внесен взнос в компенсационный фонд обеспечения договорных обязательств, сформированный в соответствии с частью 2 статьи 55.16 Градостроительного кодекса Российской Федерации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(уровень ответственности члена саморегулируемой организации)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3613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Минимальный размер стоимости оказанных услуг и (или) выполненных работ по исполненным контрактам и (или) договорам*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>
          <w:trHeight w:val="613"/>
        </w:trPr>
        <w:tc>
          <w:tcPr>
            <w:shd w:val="clear" w:color="auto" w:fill="d9d9d9" w:themeFill="background1" w:themeFillShade="D9"/>
            <w:tcW w:w="563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5318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3613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3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5318" w:type="dxa"/>
            <w:textDirection w:val="lrTb"/>
            <w:noWrap w:val="false"/>
          </w:tcPr>
          <w:p>
            <w:pPr>
              <w:pStyle w:val="89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не превышает 90 миллионов рублей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9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(первый уровень ответственности члена саморегулируемой организации)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3613" w:type="dxa"/>
            <w:textDirection w:val="lrTb"/>
            <w:noWrap w:val="false"/>
          </w:tcPr>
          <w:p>
            <w:pPr>
              <w:pStyle w:val="893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10 % предельного размера обязательств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3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5318" w:type="dxa"/>
            <w:textDirection w:val="lrTb"/>
            <w:noWrap w:val="false"/>
          </w:tcPr>
          <w:p>
            <w:pPr>
              <w:pStyle w:val="893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не превышает 500 миллионов рублей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(второй уровень ответственности члена саморегулируемой организации)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3613" w:type="dxa"/>
            <w:textDirection w:val="lrTb"/>
            <w:noWrap w:val="false"/>
          </w:tcPr>
          <w:p>
            <w:pPr>
              <w:pStyle w:val="893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7 % предельного размера обязательств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437"/>
        </w:trPr>
        <w:tc>
          <w:tcPr>
            <w:tcW w:w="563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5318" w:type="dxa"/>
            <w:textDirection w:val="lrTb"/>
            <w:noWrap w:val="false"/>
          </w:tcPr>
          <w:p>
            <w:pPr>
              <w:pStyle w:val="893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не превышает 3 миллиарда рублей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(третий уровень ответственности члена саморегулируемой организации)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3613" w:type="dxa"/>
            <w:vMerge w:val="restart"/>
            <w:textDirection w:val="lrTb"/>
            <w:noWrap w:val="false"/>
          </w:tcPr>
          <w:p>
            <w:pPr>
              <w:pStyle w:val="893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3 % предельного размера обязательств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437"/>
        </w:trPr>
        <w:tc>
          <w:tcPr>
            <w:tcW w:w="563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5318" w:type="dxa"/>
            <w:textDirection w:val="lrTb"/>
            <w:noWrap w:val="false"/>
          </w:tcPr>
          <w:p>
            <w:pPr>
              <w:pStyle w:val="89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не превышает 10 миллиардов рублей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9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(четвертый уровень ответственности члена саморегулируемой организации)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3613" w:type="dxa"/>
            <w:vMerge w:val="continue"/>
            <w:textDirection w:val="lrTb"/>
            <w:noWrap w:val="false"/>
          </w:tcPr>
          <w:p>
            <w:pPr>
              <w:pStyle w:val="893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/>
        <w:tc>
          <w:tcPr>
            <w:tcW w:w="563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5318" w:type="dxa"/>
            <w:textDirection w:val="lrTb"/>
            <w:noWrap w:val="false"/>
          </w:tcPr>
          <w:p>
            <w:pPr>
              <w:pStyle w:val="89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составляет 10 миллиардов рублей и более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9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(пятый уровень ответственности члена саморегулируемой организации)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93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3613" w:type="dxa"/>
            <w:vMerge w:val="continue"/>
            <w:textDirection w:val="lrTb"/>
            <w:noWrap w:val="false"/>
          </w:tcPr>
          <w:p>
            <w:pPr>
              <w:pStyle w:val="893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</w:tbl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  <w:highlight w:val="cyan"/>
        </w:rPr>
      </w:pPr>
      <w:r>
        <w:rPr>
          <w:rFonts w:ascii="Times New Roman" w:hAnsi="Times New Roman" w:eastAsia="Calibri" w:cs="Times New Roman"/>
          <w:b/>
          <w:sz w:val="24"/>
          <w:szCs w:val="24"/>
          <w:highlight w:val="cyan"/>
        </w:rPr>
      </w:r>
      <w:r>
        <w:rPr>
          <w:rFonts w:ascii="Times New Roman" w:hAnsi="Times New Roman" w:eastAsia="Calibri" w:cs="Times New Roman"/>
          <w:b/>
          <w:sz w:val="24"/>
          <w:szCs w:val="24"/>
          <w:highlight w:val="cyan"/>
        </w:rPr>
      </w:r>
    </w:p>
    <w:p>
      <w:pPr>
        <w:pStyle w:val="893"/>
        <w:ind w:firstLine="540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*</w:t>
      </w:r>
      <w:r>
        <w:rPr>
          <w:rFonts w:ascii="Times New Roman" w:hAnsi="Times New Roman" w:eastAsia="Calibri" w:cs="Times New Roman"/>
          <w:sz w:val="24"/>
          <w:szCs w:val="24"/>
        </w:rPr>
        <w:t xml:space="preserve"> Размер стоимости оказанных</w:t>
      </w:r>
      <w:r>
        <w:rPr>
          <w:rFonts w:ascii="Times New Roman" w:hAnsi="Times New Roman" w:eastAsia="Calibri" w:cs="Times New Roman"/>
          <w:sz w:val="24"/>
          <w:szCs w:val="24"/>
        </w:rPr>
        <w:t xml:space="preserve"> услуг и (или) выполненных работ по всем исполненным контрактам и (или) договорам, представленным Участником и соответствующим требованиям пункта 23 Положения, определяется как совокупная стоимость услуг и (или) работ по таким контрактам и (или) договорам.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  <w:highlight w:val="cyan"/>
        </w:rPr>
      </w:pPr>
      <w:r>
        <w:rPr>
          <w:rFonts w:ascii="Times New Roman" w:hAnsi="Times New Roman" w:eastAsia="Calibri" w:cs="Times New Roman"/>
          <w:b/>
          <w:sz w:val="24"/>
          <w:szCs w:val="24"/>
          <w:highlight w:val="cyan"/>
        </w:rPr>
      </w:r>
      <w:r>
        <w:rPr>
          <w:rFonts w:ascii="Times New Roman" w:hAnsi="Times New Roman" w:eastAsia="Calibri" w:cs="Times New Roman"/>
          <w:b/>
          <w:sz w:val="24"/>
          <w:szCs w:val="24"/>
          <w:highlight w:val="cyan"/>
        </w:rPr>
      </w:r>
    </w:p>
    <w:p>
      <w:pPr>
        <w:pStyle w:val="893"/>
        <w:contextualSpacing/>
        <w:spacing w:before="0" w:after="1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3"/>
        <w:contextualSpacing/>
        <w:spacing w:before="0" w:after="1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3"/>
        <w:contextualSpacing/>
        <w:spacing w:before="0" w:after="160" w:line="240" w:lineRule="auto"/>
        <w:rPr>
          <w:rFonts w:ascii="Times New Roman" w:hAnsi="Times New Roman" w:cs="Times New Roman"/>
          <w:sz w:val="24"/>
          <w:szCs w:val="24"/>
        </w:rPr>
        <w:sectPr>
          <w:headerReference w:type="default" r:id="rId12"/>
          <w:headerReference w:type="first" r:id="rId13"/>
          <w:footerReference w:type="default" r:id="rId23"/>
          <w:footerReference w:type="first" r:id="rId24"/>
          <w:footnotePr/>
          <w:endnotePr/>
          <w:type w:val="nextPage"/>
          <w:pgSz w:w="11906" w:h="16838" w:orient="portrait"/>
          <w:pgMar w:top="1134" w:right="624" w:bottom="1134" w:left="1361" w:header="709" w:footer="709" w:gutter="0"/>
          <w:cols w:num="1" w:sep="0" w:space="1701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3"/>
        <w:ind w:left="5812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Приложение № 3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jc w:val="both"/>
        <w:spacing w:before="12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jc w:val="both"/>
        <w:spacing w:before="12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ФОРМА ШТАТНО-СПИСОЧНОГО СОСТАВА СОТРУДНИКОВ 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93"/>
        <w:jc w:val="center"/>
        <w:spacing w:before="0" w:after="12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pStyle w:val="893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Участник предварительного отбора подрядных организаций: </w:t>
      </w:r>
      <w:r>
        <w:rPr>
          <w:rFonts w:ascii="Times New Roman" w:hAnsi="Times New Roman" w:eastAsia="Times New Roman" w:cs="Times New Roman"/>
          <w:bCs/>
          <w:i/>
          <w:sz w:val="24"/>
          <w:szCs w:val="24"/>
          <w:u w:val="single"/>
          <w:lang w:eastAsia="ru-RU"/>
        </w:rPr>
        <w:t xml:space="preserve">(указывается полное наименование и организационно правовая форма для юридического лица или Фамилия, Имя, Отчество (при наличии отчества) для индивидуального предпринимателя) </w:t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  <w:lang w:eastAsia="ru-RU"/>
        </w:rPr>
        <w:t xml:space="preserve">       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tbl>
      <w:tblPr>
        <w:tblW w:w="14614" w:type="dxa"/>
        <w:tblInd w:w="41" w:type="dxa"/>
        <w:tblLayout w:type="fixed"/>
        <w:tblCellMar>
          <w:left w:w="40" w:type="dxa"/>
          <w:top w:w="0" w:type="dxa"/>
          <w:right w:w="40" w:type="dxa"/>
          <w:bottom w:w="0" w:type="dxa"/>
        </w:tblCellMar>
        <w:tblLook w:val="0000" w:firstRow="0" w:lastRow="0" w:firstColumn="0" w:lastColumn="0" w:noHBand="0" w:noVBand="0"/>
      </w:tblPr>
      <w:tblGrid>
        <w:gridCol w:w="567"/>
        <w:gridCol w:w="1559"/>
        <w:gridCol w:w="1701"/>
        <w:gridCol w:w="1701"/>
        <w:gridCol w:w="2977"/>
        <w:gridCol w:w="3118"/>
        <w:gridCol w:w="2990"/>
      </w:tblGrid>
      <w:tr>
        <w:tblPrEx/>
        <w:trPr>
          <w:trHeight w:val="1964"/>
        </w:trPr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textDirection w:val="lrTb"/>
            <w:noWrap w:val="false"/>
          </w:tcPr>
          <w:p>
            <w:pPr>
              <w:pStyle w:val="893"/>
              <w:ind w:firstLine="43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893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Фамилия, имя, отчество работника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893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Образование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893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Должность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textDirection w:val="lrTb"/>
            <w:noWrap w:val="false"/>
          </w:tcPr>
          <w:p>
            <w:pPr>
              <w:pStyle w:val="893"/>
              <w:ind w:right="10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Общий трудовой стаж по профессии, специальности или направлению подготовки в области строительства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93"/>
              <w:ind w:right="102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(лет)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textDirection w:val="lrTb"/>
            <w:noWrap w:val="false"/>
          </w:tcPr>
          <w:p>
            <w:pPr>
              <w:pStyle w:val="893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Сведения о включении в реестр специалистов в области строительства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0" w:type="dxa"/>
            <w:textDirection w:val="lrTb"/>
            <w:noWrap w:val="false"/>
          </w:tcPr>
          <w:p>
            <w:pPr>
              <w:pStyle w:val="893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Наличие необходимых сертификатов, лицензий, наличие удостоверений по соответствующим допускам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7"/>
        </w:trPr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893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893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893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893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pStyle w:val="893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textDirection w:val="lrTb"/>
            <w:noWrap w:val="false"/>
          </w:tcPr>
          <w:p>
            <w:pPr>
              <w:pStyle w:val="893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0" w:type="dxa"/>
            <w:textDirection w:val="lrTb"/>
            <w:noWrap w:val="false"/>
          </w:tcPr>
          <w:p>
            <w:pPr>
              <w:pStyle w:val="893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74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textDirection w:val="lrTb"/>
            <w:noWrap w:val="false"/>
          </w:tcPr>
          <w:p>
            <w:pPr>
              <w:pStyle w:val="893"/>
              <w:ind w:right="-37"/>
              <w:jc w:val="center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893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893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893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textDirection w:val="lrTb"/>
            <w:noWrap w:val="false"/>
          </w:tcPr>
          <w:p>
            <w:pPr>
              <w:pStyle w:val="893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textDirection w:val="lrTb"/>
            <w:noWrap w:val="false"/>
          </w:tcPr>
          <w:p>
            <w:pPr>
              <w:pStyle w:val="893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0" w:type="dxa"/>
            <w:textDirection w:val="lrTb"/>
            <w:noWrap w:val="false"/>
          </w:tcPr>
          <w:p>
            <w:pPr>
              <w:pStyle w:val="893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74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textDirection w:val="lrTb"/>
            <w:noWrap w:val="false"/>
          </w:tcPr>
          <w:p>
            <w:pPr>
              <w:pStyle w:val="893"/>
              <w:ind w:right="-37"/>
              <w:jc w:val="center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893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893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893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textDirection w:val="lrTb"/>
            <w:noWrap w:val="false"/>
          </w:tcPr>
          <w:p>
            <w:pPr>
              <w:pStyle w:val="893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textDirection w:val="lrTb"/>
            <w:noWrap w:val="false"/>
          </w:tcPr>
          <w:p>
            <w:pPr>
              <w:pStyle w:val="893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0" w:type="dxa"/>
            <w:textDirection w:val="lrTb"/>
            <w:noWrap w:val="false"/>
          </w:tcPr>
          <w:p>
            <w:pPr>
              <w:pStyle w:val="893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74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textDirection w:val="lrTb"/>
            <w:noWrap w:val="false"/>
          </w:tcPr>
          <w:p>
            <w:pPr>
              <w:pStyle w:val="893"/>
              <w:ind w:right="-37"/>
              <w:jc w:val="center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893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893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893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textDirection w:val="lrTb"/>
            <w:noWrap w:val="false"/>
          </w:tcPr>
          <w:p>
            <w:pPr>
              <w:pStyle w:val="893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textDirection w:val="lrTb"/>
            <w:noWrap w:val="false"/>
          </w:tcPr>
          <w:p>
            <w:pPr>
              <w:pStyle w:val="893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0" w:type="dxa"/>
            <w:textDirection w:val="lrTb"/>
            <w:noWrap w:val="false"/>
          </w:tcPr>
          <w:p>
            <w:pPr>
              <w:pStyle w:val="893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Примечание: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Данные формируются в разрезе каждого сотрудника, удовлетворяющего требованиям к минимальному количеству квалифицированного персонала, установленным органом по ведению реестра квалифицированных подрядных организаций в пункте «л» раздела </w:t>
      </w:r>
      <w:r>
        <w:rPr>
          <w:rFonts w:ascii="Times New Roman" w:hAnsi="Times New Roman" w:eastAsia="Times New Roman" w:cs="Times New Roman"/>
          <w:i/>
          <w:sz w:val="24"/>
          <w:szCs w:val="24"/>
          <w:lang w:val="en-US" w:eastAsia="ru-RU"/>
        </w:rPr>
        <w:t xml:space="preserve">I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V Документации.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Табличная форма включает в себя следующие данные: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 в графе «№ п/п» указывается номер строки по порядку;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 в графе «Фамилия, имя, отчество работника» указываются фамилия имя и отчество (при наличии отчества) сотрудника;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 в графе «Образование» указываются сведения об образовании и полученной специальности сотрудника, соответствующие данным предоставляемого диплома или другого документа об образовании;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 в графе «Должность» указываются сведения о должности сотрудника, занимаемой в данной организации, соответствующие сведениям трудового договора;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 в графе «Общий трудовой стаж по профессии, специальности или направлению подготовки в области строительства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(лет)» указываются сведения о стаже работы сотрудника в сфере строительства, которые должны соответствовать сведениям в документах, предоставляемых участником предварительного отбора (трудовым книжкам, дипломам, трудовым договорам);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 в графе «Сведения о включении в реестр специалистов в области строительства)» - ук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азываются сведения о наличии специалистов по организации инженерных изысканий (главных инженеров проектов), специалистов по организации архитектурно-строительного проектирования (главных инженеров проектов, главных архитекторов проектов), специалистов по о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рганизации строительства (главных инженеров проектов), сведения о которых включены в национальные реестры специалистов, предусмотренные статьей 55.5-1 Градостроительного кодекса Российской Федерации, - не менее чем два специалиста по месту основной работы;</w:t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 в графе «Наличие необходимых сертификатов, лицензий,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удостоверений» указываются сведения об имеющихся у сотрудника сертификатах, разрешений и пр. документов, подтверждающих соответствие персонала участника предварительного отбора требованиям органа по ведению реестра квалифицированных подрядных организаций.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ind w:firstLine="709"/>
        <w:jc w:val="right"/>
        <w:spacing w:before="0" w:after="0" w:line="240" w:lineRule="auto"/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Приложение № 4</w:t>
      </w:r>
      <w:r/>
    </w:p>
    <w:p>
      <w:pPr>
        <w:pStyle w:val="893"/>
        <w:ind w:firstLine="709"/>
        <w:jc w:val="right"/>
        <w:spacing w:before="0" w:after="0" w:line="240" w:lineRule="auto"/>
      </w:pPr>
      <w:r/>
      <w:r/>
    </w:p>
    <w:p>
      <w:pPr>
        <w:pStyle w:val="893"/>
        <w:ind w:firstLine="709"/>
        <w:jc w:val="center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ТРЕБОВАНИЯ К МИНИМАЛЬНОМУ КОЛИЧЕСТВУ КВАЛИФИЦИРОВАННОГО ПЕРСОНАЛА, ВХОДЯЩЕГО В ШТАТ УЧАСТНИКА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tbl>
      <w:tblPr>
        <w:tblW w:w="14709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64"/>
        <w:gridCol w:w="3066"/>
        <w:gridCol w:w="3650"/>
        <w:gridCol w:w="2577"/>
        <w:gridCol w:w="1639"/>
        <w:gridCol w:w="3112"/>
      </w:tblGrid>
      <w:tr>
        <w:tblPrEx/>
        <w:trPr>
          <w:trHeight w:val="1574"/>
        </w:trPr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6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Должность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0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Образование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Стаж работы по специальности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Количество человек, не менее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2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Требование по включению в реестр специалистов</w:t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561"/>
        </w:trPr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6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0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2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  <w:highlight w:val="yellow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Calibri" w:cs="Times New Roman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6" w:type="dxa"/>
            <w:textDirection w:val="lrTb"/>
            <w:noWrap w:val="false"/>
          </w:tcPr>
          <w:p>
            <w:pPr>
              <w:pStyle w:val="893"/>
              <w:jc w:val="both"/>
              <w:spacing w:before="0" w:after="0" w:line="240" w:lineRule="auto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Индивидуальный предприниматель/руководитель юридического лица, самостоятельно организующие строительство</w:t>
            </w:r>
            <w:r/>
          </w:p>
          <w:p>
            <w:pPr>
              <w:pStyle w:val="893"/>
              <w:spacing w:before="0" w:after="16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0" w:type="dxa"/>
            <w:textDirection w:val="lrTb"/>
            <w:noWrap w:val="false"/>
          </w:tcPr>
          <w:p>
            <w:pPr>
              <w:pStyle w:val="893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Высшее образование по профессии, специальности или направлению подготовки в области строительства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893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Не менее 5 лет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textDirection w:val="lrTb"/>
            <w:noWrap w:val="false"/>
          </w:tcPr>
          <w:p>
            <w:pPr>
              <w:pStyle w:val="893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2" w:type="dxa"/>
            <w:textDirection w:val="lrTb"/>
            <w:noWrap w:val="false"/>
          </w:tcPr>
          <w:p>
            <w:pPr>
              <w:pStyle w:val="893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  <w:highlight w:val="yellow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Calibri" w:cs="Times New Roman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6" w:type="dxa"/>
            <w:textDirection w:val="lrTb"/>
            <w:noWrap w:val="false"/>
          </w:tcPr>
          <w:p>
            <w:pPr>
              <w:pStyle w:val="893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Работник индивидуального предпринимателя/ юридического лица – специалист по организации строительства (главный инженер проектов)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0" w:type="dxa"/>
            <w:textDirection w:val="lrTb"/>
            <w:noWrap w:val="false"/>
          </w:tcPr>
          <w:p>
            <w:pPr>
              <w:pStyle w:val="893"/>
              <w:jc w:val="both"/>
              <w:spacing w:before="0" w:after="0" w:line="240" w:lineRule="auto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Высшее образование по профессии, специальности или направлению подготовки в области строительства</w:t>
            </w:r>
            <w:r/>
          </w:p>
          <w:p>
            <w:pPr>
              <w:pStyle w:val="893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893"/>
              <w:spacing w:before="0" w:after="16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textDirection w:val="lrTb"/>
            <w:noWrap w:val="false"/>
          </w:tcPr>
          <w:p>
            <w:pPr>
              <w:pStyle w:val="893"/>
              <w:jc w:val="both"/>
              <w:spacing w:before="0" w:after="0" w:line="240" w:lineRule="auto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/>
          </w:p>
          <w:p>
            <w:pPr>
              <w:pStyle w:val="893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по основному месту работы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2" w:type="dxa"/>
            <w:textDirection w:val="lrTb"/>
            <w:noWrap w:val="false"/>
          </w:tcPr>
          <w:p>
            <w:pPr>
              <w:pStyle w:val="893"/>
              <w:jc w:val="both"/>
              <w:spacing w:before="0" w:after="0" w:line="240" w:lineRule="auto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Сведения о специалисте должны быть включены в национальный реестр специалистов в области строительства.</w:t>
            </w:r>
            <w:r/>
          </w:p>
          <w:p>
            <w:pPr>
              <w:pStyle w:val="893"/>
              <w:jc w:val="both"/>
              <w:spacing w:before="0" w:after="0" w:line="240" w:lineRule="auto"/>
            </w:pPr>
            <w:r/>
            <w:r/>
          </w:p>
          <w:p>
            <w:pPr>
              <w:pStyle w:val="893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</w:tbl>
    <w:p>
      <w:pPr>
        <w:pStyle w:val="893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rPr>
          <w:rFonts w:ascii="Times New Roman" w:hAnsi="Times New Roman" w:eastAsia="Calibri" w:cs="Times New Roman"/>
          <w:sz w:val="24"/>
          <w:szCs w:val="24"/>
        </w:rPr>
        <w:sectPr>
          <w:headerReference w:type="default" r:id="rId14"/>
          <w:headerReference w:type="first" r:id="rId15"/>
          <w:footerReference w:type="default" r:id="rId25"/>
          <w:footerReference w:type="first" r:id="rId26"/>
          <w:footnotePr/>
          <w:endnotePr/>
          <w:type w:val="nextPage"/>
          <w:pgSz w:w="16838" w:h="11906" w:orient="landscape"/>
          <w:pgMar w:top="1418" w:right="1134" w:bottom="765" w:left="1134" w:header="708" w:footer="708" w:gutter="0"/>
          <w:cols w:num="1" w:sep="0" w:space="1701" w:equalWidth="1"/>
          <w:docGrid w:linePitch="360"/>
          <w:titlePg/>
        </w:sectPr>
      </w:pPr>
      <w:r>
        <w:rPr>
          <w:rFonts w:ascii="Times New Roman" w:hAnsi="Times New Roman" w:eastAsia="Calibri" w:cs="Times New Roman"/>
          <w:sz w:val="24"/>
          <w:szCs w:val="24"/>
        </w:rPr>
      </w:r>
      <w:r>
        <w:br w:type="page" w:clear="all"/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93"/>
        <w:jc w:val="right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ПЕРЕЧЕНЬ КОНТРАКТОВ И (ИЛИ) ДОГОВОРОВ, ПОДТВЕРЖДАЮЩИХ НАЛИЧИЕ У УЧАСТНИКА ПРЕДВАРИТЕЛЬНОГО ОТБОРА ОПЫТА ОКАЗАНИЯ УСЛУГ И (ИЛИ) ВЫПОЛНЕНИЯ РАБОТ, АНАЛОГИЧНЫХ ПРЕДМЕТУ ПРЕДВАРИТЕЛЬНОГО ОТБОРА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14567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01"/>
        <w:gridCol w:w="1849"/>
        <w:gridCol w:w="1955"/>
        <w:gridCol w:w="1956"/>
        <w:gridCol w:w="2826"/>
        <w:gridCol w:w="2593"/>
        <w:gridCol w:w="2786"/>
      </w:tblGrid>
      <w:tr>
        <w:tblPrEx/>
        <w:trPr>
          <w:trHeight w:val="2632"/>
        </w:trPr>
        <w:tc>
          <w:tcPr>
            <w:shd w:val="clear" w:color="auto" w:fill="d9d9d9" w:themeFill="background1" w:themeFillShade="D9"/>
            <w:tcW w:w="601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849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Наименование, дата заключения и номер контракта и (или) договора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955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Установленный срок оказания услуг и (или) выполнения работ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956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Первоначальная стоимость услуг и (или) работ, рублей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826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Наименование, дата и номер актов приемки оказанных услуг и (или) выполненных работ по контракту и (или) договору или иных документов, подтверждающих приемку услуг и (или) работ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593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Окончательная стоимость услуг и (или) работ (согласно актам приемки оказанных услуг и (или) выполненных работ), рублей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786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Наличие подтверждения приемки заказчиком услуг и (или) работ по контракту и (или) договору, оказанных и (или) выполненных в полном объеме (наличие/отсутствие подписи заказчика о приемке)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46"/>
        </w:trPr>
        <w:tc>
          <w:tcPr>
            <w:shd w:val="clear" w:color="auto" w:fill="d9d9d9" w:themeFill="background1" w:themeFillShade="D9"/>
            <w:tcW w:w="601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849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955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956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826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593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786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7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tcW w:w="601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9" w:type="dxa"/>
            <w:textDirection w:val="lrTb"/>
            <w:noWrap w:val="false"/>
          </w:tcPr>
          <w:p>
            <w:pPr>
              <w:pStyle w:val="89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5" w:type="dxa"/>
            <w:textDirection w:val="lrTb"/>
            <w:noWrap w:val="false"/>
          </w:tcPr>
          <w:p>
            <w:pPr>
              <w:pStyle w:val="89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6" w:type="dxa"/>
            <w:textDirection w:val="lrTb"/>
            <w:noWrap w:val="false"/>
          </w:tcPr>
          <w:p>
            <w:pPr>
              <w:pStyle w:val="89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826" w:type="dxa"/>
            <w:textDirection w:val="lrTb"/>
            <w:noWrap w:val="false"/>
          </w:tcPr>
          <w:p>
            <w:pPr>
              <w:pStyle w:val="89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593" w:type="dxa"/>
            <w:textDirection w:val="lrTb"/>
            <w:noWrap w:val="false"/>
          </w:tcPr>
          <w:p>
            <w:pPr>
              <w:pStyle w:val="89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786" w:type="dxa"/>
            <w:textDirection w:val="lrTb"/>
            <w:noWrap w:val="false"/>
          </w:tcPr>
          <w:p>
            <w:pPr>
              <w:pStyle w:val="89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>
          <w:trHeight w:val="540"/>
        </w:trPr>
        <w:tc>
          <w:tcPr>
            <w:tcW w:w="601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9" w:type="dxa"/>
            <w:textDirection w:val="lrTb"/>
            <w:noWrap w:val="false"/>
          </w:tcPr>
          <w:p>
            <w:pPr>
              <w:pStyle w:val="89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5" w:type="dxa"/>
            <w:textDirection w:val="lrTb"/>
            <w:noWrap w:val="false"/>
          </w:tcPr>
          <w:p>
            <w:pPr>
              <w:pStyle w:val="89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6" w:type="dxa"/>
            <w:textDirection w:val="lrTb"/>
            <w:noWrap w:val="false"/>
          </w:tcPr>
          <w:p>
            <w:pPr>
              <w:pStyle w:val="89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826" w:type="dxa"/>
            <w:textDirection w:val="lrTb"/>
            <w:noWrap w:val="false"/>
          </w:tcPr>
          <w:p>
            <w:pPr>
              <w:pStyle w:val="89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593" w:type="dxa"/>
            <w:textDirection w:val="lrTb"/>
            <w:noWrap w:val="false"/>
          </w:tcPr>
          <w:p>
            <w:pPr>
              <w:pStyle w:val="89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786" w:type="dxa"/>
            <w:textDirection w:val="lrTb"/>
            <w:noWrap w:val="false"/>
          </w:tcPr>
          <w:p>
            <w:pPr>
              <w:pStyle w:val="89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>
          <w:trHeight w:val="540"/>
        </w:trPr>
        <w:tc>
          <w:tcPr>
            <w:tcW w:w="601" w:type="dxa"/>
            <w:textDirection w:val="lrTb"/>
            <w:noWrap w:val="false"/>
          </w:tcPr>
          <w:p>
            <w:pPr>
              <w:pStyle w:val="893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9" w:type="dxa"/>
            <w:textDirection w:val="lrTb"/>
            <w:noWrap w:val="false"/>
          </w:tcPr>
          <w:p>
            <w:pPr>
              <w:pStyle w:val="89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5" w:type="dxa"/>
            <w:textDirection w:val="lrTb"/>
            <w:noWrap w:val="false"/>
          </w:tcPr>
          <w:p>
            <w:pPr>
              <w:pStyle w:val="89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6" w:type="dxa"/>
            <w:textDirection w:val="lrTb"/>
            <w:noWrap w:val="false"/>
          </w:tcPr>
          <w:p>
            <w:pPr>
              <w:pStyle w:val="89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826" w:type="dxa"/>
            <w:textDirection w:val="lrTb"/>
            <w:noWrap w:val="false"/>
          </w:tcPr>
          <w:p>
            <w:pPr>
              <w:pStyle w:val="89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593" w:type="dxa"/>
            <w:textDirection w:val="lrTb"/>
            <w:noWrap w:val="false"/>
          </w:tcPr>
          <w:p>
            <w:pPr>
              <w:pStyle w:val="89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786" w:type="dxa"/>
            <w:textDirection w:val="lrTb"/>
            <w:noWrap w:val="false"/>
          </w:tcPr>
          <w:p>
            <w:pPr>
              <w:pStyle w:val="89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</w:tbl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  <w:tab/>
        <w:tab/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headerReference w:type="default" r:id="rId16"/>
          <w:headerReference w:type="first" r:id="rId17"/>
          <w:footerReference w:type="default" r:id="rId27"/>
          <w:footerReference w:type="first" r:id="rId28"/>
          <w:footnotePr/>
          <w:endnotePr/>
          <w:type w:val="nextPage"/>
          <w:pgSz w:w="16838" w:h="11906" w:orient="landscape"/>
          <w:pgMar w:top="1701" w:right="1134" w:bottom="851" w:left="1134" w:header="709" w:footer="709" w:gutter="0"/>
          <w:cols w:num="1" w:sep="0" w:space="1701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jc w:val="right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ind w:left="5812"/>
        <w:jc w:val="right"/>
        <w:spacing w:before="0" w:after="0" w:line="240" w:lineRule="auto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</w:p>
    <w:p>
      <w:pPr>
        <w:pStyle w:val="893"/>
        <w:jc w:val="center"/>
        <w:rPr>
          <w:rFonts w:ascii="Times New Roman" w:hAnsi="Times New Roman" w:cs="Times New Roman"/>
          <w:b/>
          <w:bCs/>
          <w:highlight w:val="none"/>
        </w:rPr>
      </w:pPr>
      <w:r>
        <w:rPr>
          <w:rFonts w:ascii="Times New Roman" w:hAnsi="Times New Roman" w:eastAsia="Times New Roman" w:cs="Times New Roman"/>
          <w:b/>
          <w:bCs/>
        </w:rPr>
        <w:t xml:space="preserve">СОГЛАСИЕ НА ОБРАБОТКУ ПЕРСОНАЛЬНЫХ ДАННЫХ В СООТВЕТСТВИИ С ФЕДЕРАЛЬНЫМ ЗАКОНОМ «О ПЕРСОНАЛЬНЫХ ДАННЫХ» </w:t>
      </w:r>
      <w:r>
        <w:rPr>
          <w:rFonts w:ascii="Times New Roman" w:hAnsi="Times New Roman" w:cs="Times New Roman"/>
          <w:b/>
          <w:bCs/>
          <w:highlight w:val="none"/>
        </w:rPr>
      </w:r>
    </w:p>
    <w:p>
      <w:pPr>
        <w:pStyle w:val="893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9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СОГЛАСИЕ </w:t>
      </w:r>
      <w:r>
        <w:rPr>
          <w:rFonts w:ascii="Times New Roman" w:hAnsi="Times New Roman" w:cs="Times New Roman"/>
        </w:rPr>
      </w:r>
    </w:p>
    <w:p>
      <w:pPr>
        <w:pStyle w:val="893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на обработку персональных данных 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3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Я, субъект персональных данных: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______________________________________________________________________</w:t>
      </w:r>
      <w:r>
        <w:rPr>
          <w:rFonts w:ascii="Times New Roman" w:hAnsi="Times New Roman" w:cs="Times New Roman"/>
        </w:rPr>
      </w:r>
    </w:p>
    <w:p>
      <w:pPr>
        <w:pStyle w:val="89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18"/>
          <w:szCs w:val="18"/>
        </w:rPr>
        <w:t xml:space="preserve">(Ф.И.О. полностью)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pStyle w:val="893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основной документ, удостоверяющий личность:_____________________________</w:t>
      </w:r>
      <w:r>
        <w:rPr>
          <w:rFonts w:ascii="Times New Roman" w:hAnsi="Times New Roman" w:cs="Times New Roman"/>
        </w:rPr>
      </w:r>
    </w:p>
    <w:p>
      <w:pPr>
        <w:pStyle w:val="89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(</w:t>
      </w:r>
      <w:r>
        <w:rPr>
          <w:rFonts w:ascii="Times New Roman" w:hAnsi="Times New Roman" w:eastAsia="Times New Roman" w:cs="Times New Roman"/>
          <w:sz w:val="18"/>
          <w:szCs w:val="18"/>
        </w:rPr>
        <w:t xml:space="preserve">наименование, серия, номер, дата выдачи, выдавший орган, код подразделения)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pStyle w:val="893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зарегистрированного(-ой) по адресу: ______________________________________________________________________ </w:t>
      </w:r>
      <w:r>
        <w:rPr>
          <w:rFonts w:ascii="Times New Roman" w:hAnsi="Times New Roman" w:cs="Times New Roman"/>
        </w:rPr>
      </w:r>
    </w:p>
    <w:p>
      <w:pPr>
        <w:pStyle w:val="8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 соответствии со ст. 9 Федерального закона от 27.07.2006 № 152-ФЗ «О персональных данных» даю конкретное, предметное</w:t>
      </w:r>
      <w:r>
        <w:rPr>
          <w:rFonts w:ascii="Times New Roman" w:hAnsi="Times New Roman" w:eastAsia="Times New Roman" w:cs="Times New Roman"/>
        </w:rPr>
        <w:t xml:space="preserve">, информированное, сознательное и однозначное согласие на обработку своих персональных данных, указанных в любой из частей заявки на участие в предварительном отборе на право включения ______________________________________________________________________ </w:t>
      </w:r>
      <w:r>
        <w:rPr>
          <w:rFonts w:ascii="Times New Roman" w:hAnsi="Times New Roman" w:cs="Times New Roman"/>
        </w:rPr>
      </w:r>
    </w:p>
    <w:p>
      <w:pPr>
        <w:pStyle w:val="89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18"/>
          <w:szCs w:val="18"/>
        </w:rPr>
        <w:t xml:space="preserve">(наименование участника предварительного отбора и ИНН)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pStyle w:val="8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 реестр квалифицированных подрядных организаций, имеющих право принимать участие в электронных аукционах, предметом которых является оказание услуг и (или) выполнени</w:t>
      </w:r>
      <w:r>
        <w:rPr>
          <w:rFonts w:ascii="Times New Roman" w:hAnsi="Times New Roman" w:eastAsia="Times New Roman" w:cs="Times New Roman"/>
        </w:rPr>
        <w:t xml:space="preserve">е работ по капитальному ремонту общего имущества многоквартирных домов (указать номер предварительного отбора) органу, уполномоченному на ведение реестра квалифицированных подрядных организаций (далее - РКПО), в соответствии с постановлением Правительства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Новосибирской области от 24.08.2016 № 242-п</w:t>
      </w:r>
      <w:r>
        <w:rPr>
          <w:rFonts w:ascii="Times New Roman" w:hAnsi="Times New Roman" w:eastAsia="Times New Roman" w:cs="Times New Roman"/>
        </w:rPr>
        <w:t xml:space="preserve"> -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Министерству жилищно-коммунального хозяйства и энергетики Новосибирской области</w:t>
      </w:r>
      <w:r>
        <w:rPr>
          <w:rFonts w:ascii="Times New Roman" w:hAnsi="Times New Roman" w:eastAsia="Times New Roman" w:cs="Times New Roman"/>
        </w:rPr>
        <w:t xml:space="preserve"> (ИНН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5406793110</w:t>
      </w:r>
      <w:r>
        <w:rPr>
          <w:rFonts w:ascii="Times New Roman" w:hAnsi="Times New Roman" w:eastAsia="Times New Roman" w:cs="Times New Roman"/>
        </w:rPr>
        <w:t xml:space="preserve">, далее - оператор), находящемуся по адресу: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630091, г. Новосибирск, ул. Фрунзе, 5, оф. 639</w:t>
      </w:r>
      <w:r>
        <w:rPr>
          <w:rFonts w:ascii="Times New Roman" w:hAnsi="Times New Roman" w:eastAsia="Times New Roman" w:cs="Times New Roman"/>
        </w:rPr>
        <w:t xml:space="preserve">, с целью исполнения требований п. 25 и пп. в) п. 38 Положения, утвержденного постановлением Правительства Российской Федерации от 01.07.2016 № 615 «О порядке привлечения подря</w:t>
      </w:r>
      <w:r>
        <w:rPr>
          <w:rFonts w:ascii="Times New Roman" w:hAnsi="Times New Roman" w:eastAsia="Times New Roman" w:cs="Times New Roman"/>
        </w:rPr>
        <w:t xml:space="preserve">дных организаций для оказания услуг и (или) выполнения работ по капитальному ремонту общего имущества в многоквартирном доме, порядке осуществления закупок товаров, работ, услуг в целях выполнения функций специализированной некоммерческой организации, осущ</w:t>
      </w:r>
      <w:r>
        <w:rPr>
          <w:rFonts w:ascii="Times New Roman" w:hAnsi="Times New Roman" w:eastAsia="Times New Roman" w:cs="Times New Roman"/>
        </w:rPr>
        <w:t xml:space="preserve">ествляющей деятельность, направленную на обеспечение проведения капитального ремонта общего имущества в многоквартирных домах, о порядке осуществления специализированной некоммерческой организацией, осуществляющей деятельность, направленную на обеспечение </w:t>
      </w:r>
      <w:r>
        <w:rPr>
          <w:rFonts w:ascii="Times New Roman" w:hAnsi="Times New Roman" w:eastAsia="Times New Roman" w:cs="Times New Roman"/>
        </w:rPr>
        <w:t xml:space="preserve">проведения капитального ремонта общего имущества в многоквартирных домах, закупки товаров (материалов и оборудования, в том числе высокотехнологичного оборудования), необходимых для оказания услуг и (или) выполнения работ по капитальному ремонту общего иму</w:t>
      </w:r>
      <w:r>
        <w:rPr>
          <w:rFonts w:ascii="Times New Roman" w:hAnsi="Times New Roman" w:eastAsia="Times New Roman" w:cs="Times New Roman"/>
        </w:rPr>
        <w:t xml:space="preserve">щества в многоквартирном доме, и реализации закупленных и не использованных на проведение капитального ремонта общего имущества в многоквартирном доме товаров (материалов и оборудования, в том числе высокотехнологичного оборудования)» (далее - Положение). </w:t>
      </w:r>
      <w:r>
        <w:rPr>
          <w:rFonts w:ascii="Times New Roman" w:hAnsi="Times New Roman" w:cs="Times New Roman"/>
        </w:rPr>
      </w:r>
    </w:p>
    <w:p>
      <w:pPr>
        <w:pStyle w:val="893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Перечень моих персональных данных, на обработку которых я даю согласие: фамилия, имя, отчество (при наличии), дата рождения, номер основног</w:t>
      </w:r>
      <w:r>
        <w:rPr>
          <w:rFonts w:ascii="Times New Roman" w:hAnsi="Times New Roman" w:eastAsia="Times New Roman" w:cs="Times New Roman"/>
        </w:rPr>
        <w:t xml:space="preserve">о документа, удостоверяющего личность, страховой номер индивидуального лицевого счета, данные об образовании (диплом), данные подтверждающих соответствие уровня квалификации (сертификаты, аттестаты и удостоверения), а также данные о трудовой деятельности. </w:t>
      </w:r>
      <w:r>
        <w:rPr>
          <w:rFonts w:ascii="Times New Roman" w:hAnsi="Times New Roman" w:cs="Times New Roman"/>
        </w:rPr>
      </w:r>
    </w:p>
    <w:p>
      <w:pPr>
        <w:pStyle w:val="893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Разрешаю оператору производить автоматизированную, а также осуществляемую без использования средств автома</w:t>
      </w:r>
      <w:r>
        <w:rPr>
          <w:rFonts w:ascii="Times New Roman" w:hAnsi="Times New Roman" w:eastAsia="Times New Roman" w:cs="Times New Roman"/>
        </w:rPr>
        <w:t xml:space="preserve">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-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Министерству жилищно-коммунального хозяйства и энергетики Новосибирской области</w:t>
      </w:r>
      <w:r>
        <w:rPr>
          <w:rFonts w:ascii="Times New Roman" w:hAnsi="Times New Roman" w:eastAsia="Times New Roman" w:cs="Times New Roman"/>
        </w:rPr>
        <w:t xml:space="preserve">. </w:t>
      </w:r>
      <w:r>
        <w:rPr>
          <w:rFonts w:ascii="Times New Roman" w:hAnsi="Times New Roman" w:cs="Times New Roman"/>
        </w:rPr>
      </w:r>
    </w:p>
    <w:p>
      <w:pPr>
        <w:pStyle w:val="893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Согласие вступает в силу со дня его подписания и действуют в случае: </w:t>
      </w:r>
      <w:r>
        <w:rPr>
          <w:rFonts w:ascii="Times New Roman" w:hAnsi="Times New Roman" w:cs="Times New Roman"/>
        </w:rPr>
      </w:r>
    </w:p>
    <w:p>
      <w:pPr>
        <w:pStyle w:val="893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включения участника предварительного отбора (наименование участника предварительного отбора и ИНН) в РКПО по день исключения подрядной организации из РКПО на основании п. 66 Положения; </w:t>
      </w:r>
      <w:r>
        <w:rPr>
          <w:rFonts w:ascii="Times New Roman" w:hAnsi="Times New Roman" w:cs="Times New Roman"/>
        </w:rPr>
      </w:r>
    </w:p>
    <w:p>
      <w:pPr>
        <w:pStyle w:val="893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не включения в РКПО в течение срока, предусмотренного для обжалования решения Комиссии по предварительному отбору, установленного законодательством Российской Федерации. </w:t>
      </w:r>
      <w:r>
        <w:rPr>
          <w:rFonts w:ascii="Times New Roman" w:hAnsi="Times New Roman" w:cs="Times New Roman"/>
        </w:rPr>
      </w:r>
    </w:p>
    <w:p>
      <w:pPr>
        <w:pStyle w:val="893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Субъект персональных данных вправе отозвать настоящее согласие на обработку своих персональных данных, письменно уведомив об этом оператора.</w:t>
      </w:r>
      <w:r>
        <w:rPr>
          <w:rFonts w:ascii="Times New Roman" w:hAnsi="Times New Roman" w:cs="Times New Roman"/>
        </w:rPr>
      </w:r>
    </w:p>
    <w:p>
      <w:pPr>
        <w:pStyle w:val="893"/>
        <w:ind w:left="0" w:right="0" w:firstLine="709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</w:rPr>
        <w:t xml:space="preserve">Субъект персональных данных: </w:t>
      </w:r>
      <w:r>
        <w:rPr>
          <w:rFonts w:ascii="Times New Roman" w:hAnsi="Times New Roman" w:cs="Times New Roman"/>
          <w:highlight w:val="none"/>
        </w:rPr>
      </w:r>
    </w:p>
    <w:p>
      <w:pPr>
        <w:pStyle w:val="893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3"/>
        <w:ind w:left="0" w:right="0" w:firstLine="709"/>
        <w:jc w:val="left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                       </w:t>
      </w:r>
      <w:r>
        <w:rPr>
          <w:rFonts w:ascii="Times New Roman" w:hAnsi="Times New Roman" w:eastAsia="Times New Roman" w:cs="Times New Roman"/>
        </w:rPr>
        <w:t xml:space="preserve">«           »          20     г. </w:t>
      </w:r>
      <w:r>
        <w:rPr>
          <w:rFonts w:ascii="Times New Roman" w:hAnsi="Times New Roman" w:cs="Times New Roman"/>
          <w:highlight w:val="none"/>
        </w:rPr>
      </w:r>
    </w:p>
    <w:p>
      <w:pPr>
        <w:pStyle w:val="893"/>
        <w:ind w:left="0" w:right="0" w:firstLine="709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3"/>
        <w:ind w:left="0" w:right="0" w:firstLine="709"/>
        <w:jc w:val="left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</w:rPr>
        <w:t xml:space="preserve">_______________________________________________________________</w:t>
      </w:r>
      <w:r>
        <w:rPr>
          <w:rFonts w:ascii="Times New Roman" w:hAnsi="Times New Roman" w:eastAsia="Times New Roman" w:cs="Times New Roman"/>
        </w:rPr>
        <w:t xml:space="preserve">__</w:t>
      </w:r>
      <w:r>
        <w:rPr>
          <w:rFonts w:ascii="Times New Roman" w:hAnsi="Times New Roman" w:cs="Times New Roman"/>
          <w:highlight w:val="none"/>
        </w:rPr>
      </w:r>
    </w:p>
    <w:p>
      <w:pPr>
        <w:pStyle w:val="893"/>
        <w:ind w:left="0" w:right="0" w:firstLine="709"/>
        <w:jc w:val="left"/>
        <w:rPr>
          <w:rFonts w:ascii="Times New Roman" w:hAnsi="Times New Roman" w:cs="Times New Roman"/>
          <w:bCs/>
          <w:i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(подпись)                           (Ф.И.О. с расшифровкой)                          (дата подписания согласия) </w:t>
      </w:r>
      <w:r>
        <w:rPr>
          <w:rFonts w:ascii="Times New Roman" w:hAnsi="Times New Roman" w:cs="Times New Roman"/>
          <w:bCs/>
          <w:i/>
          <w:sz w:val="22"/>
          <w:szCs w:val="22"/>
        </w:rPr>
      </w:r>
    </w:p>
    <w:p>
      <w:pPr>
        <w:pStyle w:val="893"/>
        <w:ind w:left="0" w:right="0" w:firstLine="0"/>
        <w:jc w:val="left"/>
        <w:rPr>
          <w:rFonts w:ascii="Times New Roman" w:hAnsi="Times New Roman" w:cs="Times New Roman"/>
          <w:bCs/>
          <w:i/>
          <w:sz w:val="22"/>
          <w:szCs w:val="22"/>
          <w:highlight w:val="none"/>
        </w:rPr>
      </w:pPr>
      <w:r>
        <w:rPr>
          <w:rFonts w:ascii="Times New Roman" w:hAnsi="Times New Roman" w:cs="Times New Roman"/>
          <w:bCs/>
          <w:i/>
          <w:sz w:val="22"/>
          <w:szCs w:val="22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</w:p>
    <w:p>
      <w:pPr>
        <w:pStyle w:val="893"/>
        <w:ind w:left="0" w:right="0" w:firstLine="709"/>
        <w:jc w:val="left"/>
        <w:rPr>
          <w:rFonts w:ascii="Times New Roman" w:hAnsi="Times New Roman" w:cs="Times New Roman"/>
          <w:bCs/>
          <w:i/>
          <w:sz w:val="22"/>
          <w:szCs w:val="22"/>
          <w:highlight w:val="none"/>
        </w:rPr>
      </w:pPr>
      <w:r>
        <w:rPr>
          <w:rFonts w:ascii="Times New Roman" w:hAnsi="Times New Roman" w:cs="Times New Roman"/>
          <w:bCs/>
          <w:i/>
          <w:sz w:val="22"/>
          <w:szCs w:val="22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</w:p>
    <w:p>
      <w:pPr>
        <w:pStyle w:val="893"/>
        <w:ind w:left="0" w:right="0" w:firstLine="0"/>
        <w:jc w:val="left"/>
        <w:rPr>
          <w:rFonts w:ascii="Times New Roman" w:hAnsi="Times New Roman" w:cs="Times New Roman"/>
          <w:bCs/>
          <w:i/>
          <w:sz w:val="22"/>
          <w:szCs w:val="22"/>
          <w:highlight w:val="none"/>
        </w:rPr>
      </w:pPr>
      <w:r>
        <w:rPr>
          <w:rFonts w:ascii="Times New Roman" w:hAnsi="Times New Roman" w:cs="Times New Roman"/>
          <w:bCs/>
          <w:i/>
          <w:sz w:val="22"/>
          <w:szCs w:val="22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</w:p>
    <w:p>
      <w:pPr>
        <w:pStyle w:val="893"/>
        <w:ind w:left="0" w:right="0" w:firstLine="0"/>
        <w:jc w:val="left"/>
        <w:rPr>
          <w:rFonts w:ascii="Times New Roman" w:hAnsi="Times New Roman" w:cs="Times New Roman"/>
          <w:bCs/>
          <w:i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 xml:space="preserve">Согласие на обработку персональных данных заполняется собственноручно синей ручкой</w:t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</w:p>
    <w:p>
      <w:pPr>
        <w:pStyle w:val="893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</w:pPr>
      <w:r/>
      <w:r/>
    </w:p>
    <w:p>
      <w:pPr>
        <w:pStyle w:val="893"/>
      </w:pPr>
      <w:r/>
      <w:r/>
    </w:p>
    <w:p>
      <w:pPr>
        <w:pStyle w:val="893"/>
        <w:spacing w:before="0" w:after="160"/>
      </w:pPr>
      <w:r/>
      <w:r/>
    </w:p>
    <w:sectPr>
      <w:headerReference w:type="default" r:id="rId18"/>
      <w:headerReference w:type="first" r:id="rId19"/>
      <w:footerReference w:type="default" r:id="rId29"/>
      <w:footerReference w:type="first" r:id="rId30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Mangal">
    <w:panose1 w:val="02040503050406030204"/>
  </w:font>
  <w:font w:name="Liberation Sans">
    <w:panose1 w:val="020B0604020202020204"/>
  </w:font>
  <w:font w:name="Microsoft YaHei">
    <w:panose1 w:val="020B0503020203020204"/>
  </w:font>
  <w:font w:name="Times New Roman">
    <w:panose1 w:val="02020603050405020304"/>
  </w:font>
  <w:font w:name="Segoe UI">
    <w:panose1 w:val="020B05020405040202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8"/>
    </w:pPr>
    <w:r/>
    <w:r/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8"/>
    </w:pPr>
    <w:r/>
    <w:r/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8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8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8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8"/>
    </w:pPr>
    <w:r/>
    <w:r/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8"/>
    </w:pPr>
    <w:r/>
    <w:r/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16</w:t>
    </w:r>
    <w:r>
      <w:fldChar w:fldCharType="end"/>
    </w:r>
    <w:r/>
  </w:p>
  <w:p>
    <w:pPr>
      <w:pStyle w:val="967"/>
    </w:pPr>
    <w:r/>
    <w:r/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25</w:t>
    </w:r>
    <w:r>
      <w:fldChar w:fldCharType="end"/>
    </w:r>
    <w:r/>
  </w:p>
  <w:p>
    <w:pPr>
      <w:pStyle w:val="967"/>
    </w:pPr>
    <w:r/>
    <w:r/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0</w:t>
    </w:r>
    <w:r>
      <w:fldChar w:fldCharType="end"/>
    </w:r>
    <w:r/>
  </w:p>
  <w:p>
    <w:pPr>
      <w:pStyle w:val="967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7"/>
      <w:jc w:val="center"/>
    </w:pPr>
    <w:r/>
    <w:r/>
  </w:p>
  <w:p>
    <w:pPr>
      <w:pStyle w:val="967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19</w:t>
    </w:r>
    <w:r>
      <w:fldChar w:fldCharType="end"/>
    </w:r>
    <w:r/>
  </w:p>
  <w:p>
    <w:pPr>
      <w:pStyle w:val="967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22</w:t>
    </w:r>
    <w:r>
      <w:fldChar w:fldCharType="end"/>
    </w:r>
    <w:r/>
  </w:p>
  <w:p>
    <w:pPr>
      <w:pStyle w:val="967"/>
    </w:pPr>
    <w:r/>
    <w:r/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23</w:t>
    </w:r>
    <w:r>
      <w:fldChar w:fldCharType="end"/>
    </w:r>
    <w:r/>
  </w:p>
  <w:p>
    <w:pPr>
      <w:pStyle w:val="967"/>
    </w:pPr>
    <w:r/>
    <w:r/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93" w:default="1">
    <w:name w:val="Normal"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894">
    <w:name w:val="Heading 1"/>
    <w:basedOn w:val="89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895">
    <w:name w:val="Heading 2"/>
    <w:basedOn w:val="89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96">
    <w:name w:val="Heading 3"/>
    <w:basedOn w:val="89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97">
    <w:name w:val="Heading 4"/>
    <w:basedOn w:val="89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98">
    <w:name w:val="Heading 5"/>
    <w:basedOn w:val="89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99">
    <w:name w:val="Heading 6"/>
    <w:basedOn w:val="89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900">
    <w:name w:val="Heading 7"/>
    <w:basedOn w:val="89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01">
    <w:name w:val="Heading 8"/>
    <w:basedOn w:val="89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02">
    <w:name w:val="Heading 9"/>
    <w:basedOn w:val="89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03">
    <w:name w:val="Heading 1 Char"/>
    <w:basedOn w:val="925"/>
    <w:uiPriority w:val="9"/>
    <w:qFormat/>
    <w:rPr>
      <w:rFonts w:ascii="Arial" w:hAnsi="Arial" w:eastAsia="Arial" w:cs="Arial"/>
      <w:sz w:val="40"/>
      <w:szCs w:val="40"/>
    </w:rPr>
  </w:style>
  <w:style w:type="character" w:styleId="904">
    <w:name w:val="Heading 2 Char"/>
    <w:basedOn w:val="925"/>
    <w:uiPriority w:val="9"/>
    <w:qFormat/>
    <w:rPr>
      <w:rFonts w:ascii="Arial" w:hAnsi="Arial" w:eastAsia="Arial" w:cs="Arial"/>
      <w:sz w:val="34"/>
    </w:rPr>
  </w:style>
  <w:style w:type="character" w:styleId="905">
    <w:name w:val="Heading 3 Char"/>
    <w:basedOn w:val="925"/>
    <w:uiPriority w:val="9"/>
    <w:qFormat/>
    <w:rPr>
      <w:rFonts w:ascii="Arial" w:hAnsi="Arial" w:eastAsia="Arial" w:cs="Arial"/>
      <w:sz w:val="30"/>
      <w:szCs w:val="30"/>
    </w:rPr>
  </w:style>
  <w:style w:type="character" w:styleId="906">
    <w:name w:val="Heading 4 Char"/>
    <w:basedOn w:val="925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907">
    <w:name w:val="Heading 5 Char"/>
    <w:basedOn w:val="925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908">
    <w:name w:val="Heading 6 Char"/>
    <w:basedOn w:val="925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909">
    <w:name w:val="Heading 7 Char"/>
    <w:basedOn w:val="925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910">
    <w:name w:val="Heading 8 Char"/>
    <w:basedOn w:val="925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11">
    <w:name w:val="Heading 9 Char"/>
    <w:basedOn w:val="925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912">
    <w:name w:val="Title Char"/>
    <w:basedOn w:val="925"/>
    <w:uiPriority w:val="10"/>
    <w:qFormat/>
    <w:rPr>
      <w:sz w:val="48"/>
      <w:szCs w:val="48"/>
    </w:rPr>
  </w:style>
  <w:style w:type="character" w:styleId="913">
    <w:name w:val="Subtitle Char"/>
    <w:basedOn w:val="925"/>
    <w:uiPriority w:val="11"/>
    <w:qFormat/>
    <w:rPr>
      <w:sz w:val="24"/>
      <w:szCs w:val="24"/>
    </w:rPr>
  </w:style>
  <w:style w:type="character" w:styleId="914">
    <w:name w:val="Quote Char"/>
    <w:uiPriority w:val="29"/>
    <w:qFormat/>
    <w:rPr>
      <w:i/>
    </w:rPr>
  </w:style>
  <w:style w:type="character" w:styleId="915">
    <w:name w:val="Intense Quote Char"/>
    <w:uiPriority w:val="30"/>
    <w:qFormat/>
    <w:rPr>
      <w:i/>
    </w:rPr>
  </w:style>
  <w:style w:type="character" w:styleId="916">
    <w:name w:val="Header Char"/>
    <w:basedOn w:val="925"/>
    <w:uiPriority w:val="99"/>
    <w:qFormat/>
  </w:style>
  <w:style w:type="character" w:styleId="917">
    <w:name w:val="Footer Char"/>
    <w:basedOn w:val="925"/>
    <w:uiPriority w:val="99"/>
    <w:qFormat/>
  </w:style>
  <w:style w:type="character" w:styleId="918">
    <w:name w:val="Caption Char"/>
    <w:uiPriority w:val="99"/>
    <w:qFormat/>
  </w:style>
  <w:style w:type="character" w:styleId="919">
    <w:name w:val="Footnote Text Char"/>
    <w:uiPriority w:val="99"/>
    <w:qFormat/>
    <w:rPr>
      <w:sz w:val="18"/>
    </w:rPr>
  </w:style>
  <w:style w:type="character" w:styleId="920">
    <w:name w:val="Footnote Characters"/>
    <w:uiPriority w:val="99"/>
    <w:unhideWhenUsed/>
    <w:qFormat/>
    <w:rPr>
      <w:vertAlign w:val="superscript"/>
    </w:rPr>
  </w:style>
  <w:style w:type="character" w:styleId="921">
    <w:name w:val="footnote reference"/>
    <w:rPr>
      <w:vertAlign w:val="superscript"/>
    </w:rPr>
  </w:style>
  <w:style w:type="character" w:styleId="922">
    <w:name w:val="Endnote Text Char"/>
    <w:uiPriority w:val="99"/>
    <w:qFormat/>
    <w:rPr>
      <w:sz w:val="20"/>
    </w:rPr>
  </w:style>
  <w:style w:type="character" w:styleId="923">
    <w:name w:val="Endnote Characters"/>
    <w:uiPriority w:val="99"/>
    <w:semiHidden/>
    <w:unhideWhenUsed/>
    <w:qFormat/>
    <w:rPr>
      <w:vertAlign w:val="superscript"/>
    </w:rPr>
  </w:style>
  <w:style w:type="character" w:styleId="924">
    <w:name w:val="endnote reference"/>
    <w:rPr>
      <w:vertAlign w:val="superscript"/>
    </w:rPr>
  </w:style>
  <w:style w:type="character" w:styleId="925" w:default="1">
    <w:name w:val="Default Paragraph Font"/>
    <w:uiPriority w:val="1"/>
    <w:semiHidden/>
    <w:unhideWhenUsed/>
    <w:qFormat/>
  </w:style>
  <w:style w:type="character" w:styleId="926" w:customStyle="1">
    <w:name w:val="Текст выноски Знак"/>
    <w:basedOn w:val="925"/>
    <w:uiPriority w:val="99"/>
    <w:semiHidden/>
    <w:qFormat/>
    <w:rPr>
      <w:rFonts w:ascii="Segoe UI" w:hAnsi="Segoe UI" w:cs="Segoe UI"/>
      <w:sz w:val="18"/>
      <w:szCs w:val="18"/>
    </w:rPr>
  </w:style>
  <w:style w:type="character" w:styleId="927">
    <w:name w:val="annotation reference"/>
    <w:basedOn w:val="925"/>
    <w:uiPriority w:val="99"/>
    <w:semiHidden/>
    <w:unhideWhenUsed/>
    <w:qFormat/>
    <w:rPr>
      <w:sz w:val="16"/>
      <w:szCs w:val="16"/>
    </w:rPr>
  </w:style>
  <w:style w:type="character" w:styleId="928" w:customStyle="1">
    <w:name w:val="Текст примечания Знак"/>
    <w:basedOn w:val="925"/>
    <w:uiPriority w:val="99"/>
    <w:semiHidden/>
    <w:qFormat/>
    <w:rPr>
      <w:sz w:val="20"/>
      <w:szCs w:val="20"/>
    </w:rPr>
  </w:style>
  <w:style w:type="character" w:styleId="929" w:customStyle="1">
    <w:name w:val="Тема примечания Знак"/>
    <w:basedOn w:val="928"/>
    <w:uiPriority w:val="99"/>
    <w:semiHidden/>
    <w:qFormat/>
    <w:rPr>
      <w:b/>
      <w:bCs/>
      <w:sz w:val="20"/>
      <w:szCs w:val="20"/>
    </w:rPr>
  </w:style>
  <w:style w:type="character" w:styleId="930" w:customStyle="1">
    <w:name w:val="Верхний колонтитул Знак"/>
    <w:basedOn w:val="925"/>
    <w:uiPriority w:val="99"/>
    <w:qFormat/>
  </w:style>
  <w:style w:type="character" w:styleId="931" w:customStyle="1">
    <w:name w:val="Нижний колонтитул Знак"/>
    <w:basedOn w:val="925"/>
    <w:uiPriority w:val="99"/>
    <w:qFormat/>
  </w:style>
  <w:style w:type="character" w:styleId="932">
    <w:name w:val="Hyperlink"/>
    <w:basedOn w:val="925"/>
    <w:uiPriority w:val="99"/>
    <w:unhideWhenUsed/>
    <w:rPr>
      <w:color w:val="0563c1" w:themeColor="hyperlink"/>
      <w:u w:val="single"/>
    </w:rPr>
  </w:style>
  <w:style w:type="character" w:styleId="933" w:customStyle="1">
    <w:name w:val="Абзац списка Знак"/>
    <w:uiPriority w:val="34"/>
    <w:qFormat/>
  </w:style>
  <w:style w:type="character" w:styleId="934" w:customStyle="1">
    <w:name w:val="ConsPlusNormal Знак"/>
    <w:qFormat/>
    <w:rPr>
      <w:rFonts w:ascii="Calibri" w:hAnsi="Calibri" w:eastAsia="Times New Roman" w:cs="Calibri"/>
      <w:szCs w:val="20"/>
      <w:lang w:eastAsia="ru-RU"/>
    </w:rPr>
  </w:style>
  <w:style w:type="character" w:styleId="935" w:customStyle="1">
    <w:name w:val="blk"/>
    <w:qFormat/>
  </w:style>
  <w:style w:type="paragraph" w:styleId="936">
    <w:name w:val="Heading"/>
    <w:basedOn w:val="893"/>
    <w:next w:val="93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937">
    <w:name w:val="Body Text"/>
    <w:basedOn w:val="893"/>
    <w:pPr>
      <w:spacing w:before="0" w:after="140" w:line="276" w:lineRule="auto"/>
    </w:pPr>
  </w:style>
  <w:style w:type="paragraph" w:styleId="938">
    <w:name w:val="List"/>
    <w:basedOn w:val="937"/>
    <w:rPr>
      <w:rFonts w:cs="Mangal"/>
    </w:rPr>
  </w:style>
  <w:style w:type="paragraph" w:styleId="939">
    <w:name w:val="Caption"/>
    <w:basedOn w:val="8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940">
    <w:name w:val="Index"/>
    <w:basedOn w:val="893"/>
    <w:qFormat/>
    <w:pPr>
      <w:suppressLineNumbers/>
    </w:pPr>
    <w:rPr>
      <w:rFonts w:cs="Mangal"/>
    </w:rPr>
  </w:style>
  <w:style w:type="paragraph" w:styleId="941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942">
    <w:name w:val="Title"/>
    <w:basedOn w:val="893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943">
    <w:name w:val="Subtitle"/>
    <w:basedOn w:val="893"/>
    <w:uiPriority w:val="11"/>
    <w:qFormat/>
    <w:pPr>
      <w:spacing w:before="200" w:after="200"/>
    </w:pPr>
    <w:rPr>
      <w:sz w:val="24"/>
      <w:szCs w:val="24"/>
    </w:rPr>
  </w:style>
  <w:style w:type="paragraph" w:styleId="944">
    <w:name w:val="Quote"/>
    <w:basedOn w:val="893"/>
    <w:uiPriority w:val="29"/>
    <w:qFormat/>
    <w:pPr>
      <w:ind w:left="720" w:right="720"/>
    </w:pPr>
    <w:rPr>
      <w:i/>
    </w:rPr>
  </w:style>
  <w:style w:type="paragraph" w:styleId="945">
    <w:name w:val="Intense Quote"/>
    <w:basedOn w:val="893"/>
    <w:uiPriority w:val="30"/>
    <w:qFormat/>
    <w:pPr>
      <w:ind w:left="720" w:right="720"/>
      <w:spacing w:before="0" w:after="16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946">
    <w:name w:val="footnote text"/>
    <w:basedOn w:val="893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947">
    <w:name w:val="endnote text"/>
    <w:basedOn w:val="893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948">
    <w:name w:val="toc 1"/>
    <w:basedOn w:val="893"/>
    <w:uiPriority w:val="39"/>
    <w:unhideWhenUsed/>
    <w:pPr>
      <w:ind w:left="0" w:right="0" w:firstLine="0"/>
      <w:spacing w:before="0" w:after="57"/>
    </w:pPr>
  </w:style>
  <w:style w:type="paragraph" w:styleId="949">
    <w:name w:val="toc 2"/>
    <w:basedOn w:val="893"/>
    <w:uiPriority w:val="39"/>
    <w:unhideWhenUsed/>
    <w:pPr>
      <w:ind w:left="283" w:right="0" w:firstLine="0"/>
      <w:spacing w:before="0" w:after="57"/>
    </w:pPr>
  </w:style>
  <w:style w:type="paragraph" w:styleId="950">
    <w:name w:val="toc 3"/>
    <w:basedOn w:val="893"/>
    <w:uiPriority w:val="39"/>
    <w:unhideWhenUsed/>
    <w:pPr>
      <w:ind w:left="567" w:right="0" w:firstLine="0"/>
      <w:spacing w:before="0" w:after="57"/>
    </w:pPr>
  </w:style>
  <w:style w:type="paragraph" w:styleId="951">
    <w:name w:val="toc 4"/>
    <w:basedOn w:val="893"/>
    <w:uiPriority w:val="39"/>
    <w:unhideWhenUsed/>
    <w:pPr>
      <w:ind w:left="850" w:right="0" w:firstLine="0"/>
      <w:spacing w:before="0" w:after="57"/>
    </w:pPr>
  </w:style>
  <w:style w:type="paragraph" w:styleId="952">
    <w:name w:val="toc 5"/>
    <w:basedOn w:val="893"/>
    <w:uiPriority w:val="39"/>
    <w:unhideWhenUsed/>
    <w:pPr>
      <w:ind w:left="1134" w:right="0" w:firstLine="0"/>
      <w:spacing w:before="0" w:after="57"/>
    </w:pPr>
  </w:style>
  <w:style w:type="paragraph" w:styleId="953">
    <w:name w:val="toc 6"/>
    <w:basedOn w:val="893"/>
    <w:uiPriority w:val="39"/>
    <w:unhideWhenUsed/>
    <w:pPr>
      <w:ind w:left="1417" w:right="0" w:firstLine="0"/>
      <w:spacing w:before="0" w:after="57"/>
    </w:pPr>
  </w:style>
  <w:style w:type="paragraph" w:styleId="954">
    <w:name w:val="toc 7"/>
    <w:basedOn w:val="893"/>
    <w:uiPriority w:val="39"/>
    <w:unhideWhenUsed/>
    <w:pPr>
      <w:ind w:left="1701" w:right="0" w:firstLine="0"/>
      <w:spacing w:before="0" w:after="57"/>
    </w:pPr>
  </w:style>
  <w:style w:type="paragraph" w:styleId="955">
    <w:name w:val="toc 8"/>
    <w:basedOn w:val="893"/>
    <w:uiPriority w:val="39"/>
    <w:unhideWhenUsed/>
    <w:pPr>
      <w:ind w:left="1984" w:right="0" w:firstLine="0"/>
      <w:spacing w:before="0" w:after="57"/>
    </w:pPr>
  </w:style>
  <w:style w:type="paragraph" w:styleId="956">
    <w:name w:val="toc 9"/>
    <w:basedOn w:val="893"/>
    <w:uiPriority w:val="39"/>
    <w:unhideWhenUsed/>
    <w:pPr>
      <w:ind w:left="2268" w:right="0" w:firstLine="0"/>
      <w:spacing w:before="0" w:after="57"/>
    </w:pPr>
  </w:style>
  <w:style w:type="paragraph" w:styleId="957">
    <w:name w:val="Index Heading"/>
    <w:basedOn w:val="936"/>
  </w:style>
  <w:style w:type="paragraph" w:styleId="958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959">
    <w:name w:val="table of figures"/>
    <w:basedOn w:val="893"/>
    <w:uiPriority w:val="99"/>
    <w:unhideWhenUsed/>
    <w:pPr>
      <w:spacing w:before="0" w:after="0" w:afterAutospacing="0"/>
    </w:pPr>
  </w:style>
  <w:style w:type="paragraph" w:styleId="960" w:customStyle="1">
    <w:name w:val="ConsPlusNormal"/>
    <w:qFormat/>
    <w:pPr>
      <w:jc w:val="left"/>
      <w:spacing w:before="0" w:beforeAutospacing="0" w:after="0" w:afterAutospacing="0" w:line="240" w:lineRule="auto"/>
      <w:widowControl w:val="off"/>
    </w:pPr>
    <w:rPr>
      <w:rFonts w:ascii="Calibri" w:hAnsi="Calibri" w:eastAsia="Times New Roman" w:cs="Calibri" w:asciiTheme="minorHAnsi" w:hAnsiTheme="minorHAnsi"/>
      <w:color w:val="auto"/>
      <w:sz w:val="22"/>
      <w:szCs w:val="20"/>
      <w:lang w:val="ru-RU" w:eastAsia="ru-RU" w:bidi="ar-SA"/>
    </w:rPr>
  </w:style>
  <w:style w:type="paragraph" w:styleId="961" w:customStyle="1">
    <w:name w:val="ConsPlusTitle"/>
    <w:qFormat/>
    <w:pPr>
      <w:jc w:val="left"/>
      <w:spacing w:before="0" w:beforeAutospacing="0" w:after="0" w:afterAutospacing="0" w:line="240" w:lineRule="auto"/>
      <w:widowControl w:val="off"/>
    </w:pPr>
    <w:rPr>
      <w:rFonts w:ascii="Calibri" w:hAnsi="Calibri" w:eastAsia="Times New Roman" w:cs="Calibri" w:asciiTheme="minorHAnsi" w:hAnsiTheme="minorHAnsi"/>
      <w:b/>
      <w:color w:val="auto"/>
      <w:sz w:val="22"/>
      <w:szCs w:val="20"/>
      <w:lang w:val="ru-RU" w:eastAsia="ru-RU" w:bidi="ar-SA"/>
    </w:rPr>
  </w:style>
  <w:style w:type="paragraph" w:styleId="962" w:customStyle="1">
    <w:name w:val="ConsPlusTitlePage"/>
    <w:qFormat/>
    <w:pPr>
      <w:jc w:val="left"/>
      <w:spacing w:before="0" w:beforeAutospacing="0" w:after="0" w:afterAutospacing="0" w:line="240" w:lineRule="auto"/>
      <w:widowControl w:val="off"/>
    </w:pPr>
    <w:rPr>
      <w:rFonts w:ascii="Tahoma" w:hAnsi="Tahoma" w:eastAsia="Times New Roman" w:cs="Tahoma"/>
      <w:color w:val="auto"/>
      <w:sz w:val="20"/>
      <w:szCs w:val="20"/>
      <w:lang w:val="ru-RU" w:eastAsia="ru-RU" w:bidi="ar-SA"/>
    </w:rPr>
  </w:style>
  <w:style w:type="paragraph" w:styleId="963">
    <w:name w:val="Balloon Text"/>
    <w:basedOn w:val="893"/>
    <w:uiPriority w:val="99"/>
    <w:semiHidden/>
    <w:unhideWhenUsed/>
    <w:qFormat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paragraph" w:styleId="964">
    <w:name w:val="annotation text"/>
    <w:basedOn w:val="893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965">
    <w:name w:val="annotation subject"/>
    <w:basedOn w:val="964"/>
    <w:uiPriority w:val="99"/>
    <w:semiHidden/>
    <w:unhideWhenUsed/>
    <w:qFormat/>
    <w:rPr>
      <w:b/>
      <w:bCs/>
    </w:rPr>
  </w:style>
  <w:style w:type="paragraph" w:styleId="966">
    <w:name w:val="Header and Footer"/>
    <w:basedOn w:val="893"/>
    <w:qFormat/>
  </w:style>
  <w:style w:type="paragraph" w:styleId="967">
    <w:name w:val="Header"/>
    <w:basedOn w:val="893"/>
    <w:uiPriority w:val="99"/>
    <w:unhideWhenUsed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968">
    <w:name w:val="Footer"/>
    <w:basedOn w:val="893"/>
    <w:uiPriority w:val="99"/>
    <w:unhideWhenUsed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969">
    <w:name w:val="List Paragraph"/>
    <w:basedOn w:val="893"/>
    <w:uiPriority w:val="34"/>
    <w:qFormat/>
    <w:pPr>
      <w:contextualSpacing/>
      <w:ind w:left="720"/>
      <w:spacing w:before="0" w:after="160"/>
    </w:pPr>
  </w:style>
  <w:style w:type="numbering" w:styleId="970" w:default="1">
    <w:name w:val="No List"/>
    <w:uiPriority w:val="99"/>
    <w:semiHidden/>
    <w:unhideWhenUsed/>
    <w:qFormat/>
  </w:style>
  <w:style w:type="table" w:styleId="532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header" Target="header7.xml" /><Relationship Id="rId16" Type="http://schemas.openxmlformats.org/officeDocument/2006/relationships/header" Target="header8.xml" /><Relationship Id="rId17" Type="http://schemas.openxmlformats.org/officeDocument/2006/relationships/header" Target="header9.xml" /><Relationship Id="rId18" Type="http://schemas.openxmlformats.org/officeDocument/2006/relationships/header" Target="header10.xml" /><Relationship Id="rId19" Type="http://schemas.openxmlformats.org/officeDocument/2006/relationships/header" Target="header11.xml" /><Relationship Id="rId20" Type="http://schemas.openxmlformats.org/officeDocument/2006/relationships/footer" Target="footer1.xml" /><Relationship Id="rId21" Type="http://schemas.openxmlformats.org/officeDocument/2006/relationships/footer" Target="footer2.xml" /><Relationship Id="rId22" Type="http://schemas.openxmlformats.org/officeDocument/2006/relationships/footer" Target="footer3.xml" /><Relationship Id="rId23" Type="http://schemas.openxmlformats.org/officeDocument/2006/relationships/footer" Target="footer4.xml" /><Relationship Id="rId24" Type="http://schemas.openxmlformats.org/officeDocument/2006/relationships/footer" Target="footer5.xml" /><Relationship Id="rId25" Type="http://schemas.openxmlformats.org/officeDocument/2006/relationships/footer" Target="footer6.xml" /><Relationship Id="rId26" Type="http://schemas.openxmlformats.org/officeDocument/2006/relationships/footer" Target="footer7.xml" /><Relationship Id="rId27" Type="http://schemas.openxmlformats.org/officeDocument/2006/relationships/footer" Target="footer8.xml" /><Relationship Id="rId28" Type="http://schemas.openxmlformats.org/officeDocument/2006/relationships/footer" Target="footer9.xml" /><Relationship Id="rId29" Type="http://schemas.openxmlformats.org/officeDocument/2006/relationships/footer" Target="footer10.xml" /><Relationship Id="rId30" Type="http://schemas.openxmlformats.org/officeDocument/2006/relationships/footer" Target="footer11.xml" /><Relationship Id="rId31" Type="http://schemas.openxmlformats.org/officeDocument/2006/relationships/customXml" Target="../customXml/item1.xml" /><Relationship Id="rId32" Type="http://schemas.openxmlformats.org/officeDocument/2006/relationships/hyperlink" Target="consultantplus://offline/ref=1A5ACDC7DDF8F0887A5F947293FE2CE5F6F787A58646A3FC26F6FA80EC4498F2B4F4B29DE25C6665B142ABBE2349634291F5A8A8AAE2S3H" TargetMode="External"/><Relationship Id="rId33" Type="http://schemas.openxmlformats.org/officeDocument/2006/relationships/hyperlink" Target="consultantplus://offline/ref=A2283303C7D254AD7348380E740FF25A10E2ED22CEB7A37225481EC656EC239C45C4E1787FF2A849uEg7B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10.xml.rels><?xml version="1.0" encoding="UTF-8" standalone="yes"?><Relationships xmlns="http://schemas.openxmlformats.org/package/2006/relationships"></Relationships>
</file>

<file path=word/_rels/footer1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er7.xml.rels><?xml version="1.0" encoding="UTF-8" standalone="yes"?><Relationships xmlns="http://schemas.openxmlformats.org/package/2006/relationships"></Relationships>
</file>

<file path=word/_rels/footer8.xml.rels><?xml version="1.0" encoding="UTF-8" standalone="yes"?><Relationships xmlns="http://schemas.openxmlformats.org/package/2006/relationships"></Relationships>
</file>

<file path=word/_rels/footer9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10.xml.rels><?xml version="1.0" encoding="UTF-8" standalone="yes"?><Relationships xmlns="http://schemas.openxmlformats.org/package/2006/relationships"></Relationships>
</file>

<file path=word/_rels/header1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_rels/header7.xml.rels><?xml version="1.0" encoding="UTF-8" standalone="yes"?><Relationships xmlns="http://schemas.openxmlformats.org/package/2006/relationships"></Relationships>
</file>

<file path=word/_rels/header8.xml.rels><?xml version="1.0" encoding="UTF-8" standalone="yes"?><Relationships xmlns="http://schemas.openxmlformats.org/package/2006/relationships"></Relationships>
</file>

<file path=word/_rels/header9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8EFE6-0056-4C8E-B881-C00B6A3B0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PNO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 Анна Анатольевна</dc:creator>
  <dc:description/>
  <dc:language>ru-RU</dc:language>
  <cp:revision>76</cp:revision>
  <dcterms:created xsi:type="dcterms:W3CDTF">2022-03-23T07:12:00Z</dcterms:created>
  <dcterms:modified xsi:type="dcterms:W3CDTF">2026-04-09T04:43:26Z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